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110"/>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1110"/>
        <w:rPr>
          <w:rFonts w:ascii="宋体" w:hAnsi="宋体" w:eastAsia="宋体" w:cs="宋体"/>
          <w:bCs/>
          <w:color w:val="auto"/>
          <w:sz w:val="30"/>
          <w:highlight w:val="none"/>
        </w:rPr>
      </w:pPr>
      <w:r>
        <w:rPr>
          <w:rFonts w:ascii="宋体" w:hAnsi="宋体" w:eastAsia="宋体" w:cs="宋体"/>
          <w:bCs/>
          <w:color w:val="auto"/>
          <w:sz w:val="30"/>
          <w:highlight w:val="none"/>
        </w:rPr>
      </w:r>
      <w:r/>
    </w:p>
    <w:p>
      <w:pPr>
        <w:ind w:left="660"/>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jc w:val="center"/>
        <w:spacing w:line="300" w:lineRule="auto"/>
        <w:rPr>
          <w:rFonts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无锡市政府采购项目</w:t>
      </w:r>
      <w:r/>
    </w:p>
    <w:p>
      <w:pPr>
        <w:spacing w:line="30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spacing w:line="30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jc w:val="center"/>
        <w:spacing w:line="300" w:lineRule="auto"/>
        <w:rPr>
          <w:rFonts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 xml:space="preserve">公   开</w:t>
      </w:r>
      <w:r/>
    </w:p>
    <w:p>
      <w:pPr>
        <w:jc w:val="center"/>
        <w:spacing w:line="300" w:lineRule="auto"/>
        <w:rPr>
          <w:rFonts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color w:val="auto"/>
          <w:spacing w:val="20"/>
          <w:sz w:val="72"/>
          <w:szCs w:val="72"/>
          <w:highlight w:val="none"/>
        </w:rPr>
        <w:t xml:space="preserve">招  标  文  件</w:t>
      </w:r>
      <w:r/>
    </w:p>
    <w:p>
      <w:pPr>
        <w:jc w:val="center"/>
        <w:tabs>
          <w:tab w:val="left" w:pos="9921" w:leader="none"/>
        </w:tabs>
        <w:rPr>
          <w:rFonts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jc w:val="center"/>
        <w:tabs>
          <w:tab w:val="left" w:pos="9921" w:leader="none"/>
        </w:tabs>
        <w:rPr>
          <w:rFonts w:hint="default" w:ascii="宋体" w:hAnsi="宋体" w:eastAsia="宋体" w:cs="宋体"/>
          <w:bCs/>
          <w:color w:val="auto"/>
          <w:sz w:val="32"/>
          <w:szCs w:val="24"/>
          <w:highlight w:val="none"/>
          <w:lang w:val="en-US" w:eastAsia="zh-CN"/>
        </w:rPr>
      </w:pPr>
      <w:r>
        <w:rPr>
          <w:rFonts w:hint="eastAsia" w:ascii="宋体" w:hAnsi="宋体" w:eastAsia="宋体" w:cs="宋体"/>
          <w:bCs/>
          <w:color w:val="auto"/>
          <w:sz w:val="32"/>
          <w:szCs w:val="24"/>
          <w:highlight w:val="none"/>
          <w:lang w:eastAsia="zh-CN"/>
        </w:rPr>
        <w:t xml:space="preserve">（</w:t>
      </w:r>
      <w:r>
        <w:rPr>
          <w:rFonts w:hint="eastAsia" w:ascii="宋体" w:hAnsi="宋体" w:eastAsia="宋体" w:cs="宋体"/>
          <w:bCs/>
          <w:color w:val="auto"/>
          <w:sz w:val="32"/>
          <w:szCs w:val="24"/>
          <w:highlight w:val="none"/>
          <w:lang w:val="en-US" w:eastAsia="zh-CN"/>
        </w:rPr>
        <w:t xml:space="preserve">澄清版）</w:t>
      </w:r>
      <w:r/>
    </w:p>
    <w:p>
      <w:pPr>
        <w:jc w:val="center"/>
        <w:tabs>
          <w:tab w:val="left" w:pos="9921" w:leader="none"/>
        </w:tabs>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（暗标）</w:t>
      </w:r>
      <w:r/>
    </w:p>
    <w:p>
      <w:pPr>
        <w:jc w:val="center"/>
        <w:spacing w:line="360" w:lineRule="auto"/>
        <w:rPr>
          <w:rFonts w:ascii="宋体" w:hAnsi="宋体" w:eastAsia="宋体" w:cs="宋体"/>
          <w:b/>
          <w:bCs/>
          <w:color w:val="auto"/>
          <w:spacing w:val="20"/>
          <w:sz w:val="52"/>
          <w:szCs w:val="52"/>
          <w:highlight w:val="none"/>
        </w:rPr>
      </w:pPr>
      <w:r>
        <w:rPr>
          <w:rFonts w:ascii="宋体" w:hAnsi="宋体" w:eastAsia="宋体" w:cs="宋体"/>
          <w:b/>
          <w:bCs/>
          <w:color w:val="auto"/>
          <w:spacing w:val="20"/>
          <w:sz w:val="52"/>
          <w:szCs w:val="52"/>
          <w:highlight w:val="none"/>
        </w:rPr>
      </w:r>
      <w:r/>
    </w:p>
    <w:p>
      <w:pPr>
        <w:spacing w:line="360" w:lineRule="auto"/>
        <w:rPr>
          <w:rFonts w:ascii="宋体" w:hAnsi="宋体" w:eastAsia="宋体" w:cs="宋体"/>
          <w:b/>
          <w:bCs/>
          <w:color w:val="auto"/>
          <w:sz w:val="30"/>
          <w:highlight w:val="none"/>
        </w:rPr>
      </w:pPr>
      <w:r>
        <w:rPr>
          <w:rFonts w:ascii="宋体" w:hAnsi="宋体" w:eastAsia="宋体" w:cs="宋体"/>
          <w:b/>
          <w:bCs/>
          <w:color w:val="auto"/>
          <w:sz w:val="30"/>
          <w:highlight w:val="none"/>
        </w:rPr>
      </w:r>
      <w:r/>
    </w:p>
    <w:p>
      <w:pP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ind w:firstLine="837"/>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政府采购编号：JSZC-320211-WXXH-G2025-0010 </w:t>
      </w:r>
      <w:r/>
    </w:p>
    <w:p>
      <w:pPr>
        <w:ind w:firstLine="837"/>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采购项目名称：荣巷街道2026-2028年度雨污水管网运行维护作业权项目</w:t>
      </w:r>
      <w:r/>
    </w:p>
    <w:p>
      <w:pPr>
        <w:ind w:firstLine="837"/>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人：无锡市滨湖区荣巷街道办事处</w:t>
      </w:r>
      <w:r/>
    </w:p>
    <w:p>
      <w:pPr>
        <w:ind w:firstLine="837"/>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0"/>
          <w:szCs w:val="30"/>
          <w:highlight w:val="none"/>
        </w:rPr>
        <w:t xml:space="preserve">采购代理机构：无锡星瀚工程咨询管理有限公司</w:t>
      </w:r>
      <w:r/>
    </w:p>
    <w:p>
      <w:pP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二〇二五年十一月</w:t>
      </w:r>
      <w:r/>
    </w:p>
    <w:p>
      <w:pPr>
        <w:pStyle w:val="1425"/>
        <w:ind w:firstLine="0"/>
        <w:jc w:val="center"/>
        <w:rPr>
          <w:rFonts w:ascii="宋体" w:hAnsi="宋体" w:cs="宋体"/>
          <w:color w:val="auto"/>
          <w:sz w:val="36"/>
          <w:szCs w:val="36"/>
          <w:highlight w:val="none"/>
        </w:rPr>
        <w:sectPr>
          <w:headerReference w:type="first" r:id="rId9"/>
          <w:footerReference w:type="default" r:id="rId12"/>
          <w:footerReference w:type="even" r:id="rId13"/>
          <w:footerReference w:type="first" r:id="rId14"/>
          <w:footnotePr/>
          <w:endnotePr/>
          <w:type w:val="nextPage"/>
          <w:pgSz w:w="11906" w:h="16838" w:orient="portrait"/>
          <w:pgMar w:top="850" w:right="851" w:bottom="794" w:left="850" w:header="624" w:footer="907" w:gutter="0"/>
          <w:pgNumType w:start="0"/>
          <w:cols w:num="1" w:sep="0" w:space="0" w:equalWidth="1"/>
          <w:docGrid w:linePitch="360"/>
        </w:sectPr>
      </w:pPr>
      <w:r>
        <w:rPr>
          <w:rFonts w:ascii="宋体" w:hAnsi="宋体" w:cs="宋体"/>
          <w:color w:val="auto"/>
          <w:sz w:val="36"/>
          <w:szCs w:val="36"/>
          <w:highlight w:val="none"/>
        </w:rPr>
      </w:r>
      <w:r/>
    </w:p>
    <w:p>
      <w:pPr>
        <w:pStyle w:val="1425"/>
        <w:ind w:firstLine="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425"/>
        <w:ind w:firstLine="0"/>
        <w:jc w:val="center"/>
        <w:rPr>
          <w:rFonts w:ascii="宋体" w:hAnsi="宋体" w:cs="宋体"/>
          <w:color w:val="auto"/>
          <w:sz w:val="48"/>
          <w:szCs w:val="48"/>
          <w:highlight w:val="none"/>
        </w:rPr>
      </w:pPr>
      <w:r>
        <w:rPr>
          <w:rFonts w:hint="eastAsia" w:ascii="宋体" w:hAnsi="宋体" w:cs="宋体"/>
          <w:color w:val="auto"/>
          <w:sz w:val="48"/>
          <w:szCs w:val="48"/>
          <w:highlight w:val="none"/>
        </w:rPr>
        <w:t xml:space="preserve">目  录</w:t>
      </w:r>
      <w:r/>
    </w:p>
    <w:p>
      <w:pPr>
        <w:jc w:val="left"/>
        <w:spacing w:line="360" w:lineRule="auto"/>
        <w:rPr>
          <w:rFonts w:ascii="宋体" w:hAnsi="宋体" w:eastAsia="宋体" w:cs="宋体"/>
          <w:color w:val="auto"/>
          <w:sz w:val="44"/>
          <w:highlight w:val="none"/>
        </w:rPr>
        <w:outlineLvl w:val="0"/>
      </w:pPr>
      <w:r>
        <w:rPr>
          <w:rFonts w:ascii="宋体" w:hAnsi="宋体" w:eastAsia="宋体" w:cs="宋体"/>
          <w:color w:val="auto"/>
          <w:sz w:val="44"/>
          <w:highlight w:val="none"/>
        </w:rPr>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第一章  投标邀请</w:t>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第二章  投标人须知</w:t>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第三章  合同文本</w:t>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第四章  采购需求</w:t>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第五章  评标方法与评标标准</w:t>
      </w:r>
      <w:r/>
    </w:p>
    <w:p>
      <w:pPr>
        <w:ind w:left="1440" w:hanging="600"/>
        <w:spacing w:line="360" w:lineRule="auto"/>
        <w:rPr>
          <w:rFonts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第六章  投标文件内容与格式</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rPr>
          <w:color w:val="auto"/>
          <w:highlight w:val="none"/>
        </w:rPr>
      </w:pPr>
      <w:r/>
      <w:bookmarkStart w:id="0" w:name="报价方须知前附表"/>
      <w:r/>
      <w:bookmarkEnd w:id="0"/>
      <w:r/>
      <w:r/>
    </w:p>
    <w:p>
      <w:pPr>
        <w:jc w:val="cente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一、投标邀请函</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无锡星瀚工程咨询管理有限公司受</w:t>
      </w:r>
      <w:r>
        <w:rPr>
          <w:rFonts w:hint="eastAsia" w:ascii="宋体" w:hAnsi="宋体" w:eastAsia="宋体" w:cs="宋体"/>
          <w:bCs/>
          <w:color w:val="auto"/>
          <w:sz w:val="24"/>
          <w:highlight w:val="none"/>
        </w:rPr>
        <w:t xml:space="preserve">无锡市滨湖区荣巷街道办事处</w:t>
      </w:r>
      <w:r>
        <w:rPr>
          <w:rFonts w:hint="eastAsia" w:ascii="宋体" w:hAnsi="宋体" w:eastAsia="宋体" w:cs="宋体"/>
          <w:bCs/>
          <w:color w:val="auto"/>
          <w:sz w:val="24"/>
          <w:szCs w:val="24"/>
          <w:highlight w:val="none"/>
        </w:rPr>
        <w:t xml:space="preserve">的委托，对</w:t>
      </w:r>
      <w:r>
        <w:rPr>
          <w:rFonts w:hint="eastAsia" w:ascii="宋体" w:hAnsi="宋体" w:eastAsia="宋体" w:cs="宋体"/>
          <w:bCs/>
          <w:color w:val="auto"/>
          <w:sz w:val="24"/>
          <w:highlight w:val="none"/>
        </w:rPr>
        <w:t xml:space="preserve">荣巷街道2026-2028年度雨污水管网运行维护作业权项目</w:t>
      </w:r>
      <w:r>
        <w:rPr>
          <w:rFonts w:hint="eastAsia" w:ascii="宋体" w:hAnsi="宋体" w:eastAsia="宋体" w:cs="宋体"/>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荣巷街道2026-2028年度雨污水管网运行维护作业权项目</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auto"/>
          <w:sz w:val="24"/>
          <w:szCs w:val="24"/>
          <w:highlight w:val="none"/>
        </w:rPr>
        <w:t xml:space="preserve">2025年12月02日09点30分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1.项目名称：荣巷街道2026-2028年度雨污水管网运行维护作业权项目</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 JSZC-320211-WXXH-G2025-0010</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3.项目预算金额：820万元；</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4.项目最高限价：788.04255万元。</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5.采购需求：详见招标文件第四章《采购需求》</w:t>
      </w:r>
      <w:r>
        <w:rPr>
          <w:rFonts w:hint="eastAsia" w:ascii="宋体" w:hAnsi="宋体" w:eastAsia="宋体" w:cs="宋体"/>
          <w:color w:val="auto"/>
          <w:sz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rPr>
        <w:t xml:space="preserve">3年（具体起始日期以合同签订日期为准）</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7.本项目是否专门面向中小微企业：是；</w:t>
      </w:r>
      <w:r/>
    </w:p>
    <w:p>
      <w:pPr>
        <w:ind w:firstLine="480"/>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8.本项目标的所属行业：</w:t>
      </w:r>
      <w:r>
        <w:rPr>
          <w:rFonts w:hint="eastAsia" w:ascii="宋体" w:hAnsi="宋体" w:eastAsia="宋体" w:cs="宋体"/>
          <w:color w:val="auto"/>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sz w:val="24"/>
          <w:szCs w:val="24"/>
          <w:highlight w:val="none"/>
        </w:rPr>
        <w:t xml:space="preserve">9.本项目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2"/>
        <w:jc w:val="left"/>
        <w:spacing w:line="360" w:lineRule="auto"/>
        <w:shd w:val="clear" w:color="auto" w:fill="ffffff"/>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型企业/小型企业/微型企业（监狱企业/残疾人福利性单位视同小微企业），资格证明文件中必须提交《中小企业声明函》或《监狱企业证明文件》或《残疾人福利性单位声明函》。</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通用资格要求：在“信用中国”网站（www.creditchina.gov.cn）、中国政府采购网(www.ccgp.gov.cn)查询，无被列入失信被执行人、重大税收违法案件主体名单、政府采购严重失信行为记录名单及其他不符合《中华人民共和国政府采购法》第二十二条规定条件的信用记录；</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4.本项目的特定资格要求：</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4.1投标供应商须具备有效的市政公用工程施工总承包三级及以上资质；</w:t>
      </w:r>
      <w:r/>
    </w:p>
    <w:p>
      <w:pPr>
        <w:ind w:firstLine="482"/>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zh-CN"/>
        </w:rPr>
        <w:t xml:space="preserve">投标供应商具备有效的安全生产许可证；</w:t>
      </w:r>
      <w:r/>
    </w:p>
    <w:p>
      <w:pPr>
        <w:pStyle w:val="1048"/>
        <w:rPr>
          <w:color w:val="auto"/>
          <w:highlight w:val="none"/>
        </w:rPr>
      </w:pPr>
      <w:r>
        <w:rPr>
          <w:rFonts w:hint="eastAsia"/>
          <w:color w:val="auto"/>
          <w:highlight w:val="none"/>
        </w:rPr>
        <w:t xml:space="preserve">     </w:t>
      </w: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highlight w:val="none"/>
          <w:lang w:val="zh-CN"/>
        </w:rPr>
        <w:t xml:space="preserve">项目负责人具备</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zh-CN"/>
        </w:rPr>
        <w:t xml:space="preserve">市政公用工程专业</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zh-CN"/>
        </w:rPr>
        <w:t xml:space="preserve">二级及以上注册建造师</w:t>
      </w:r>
      <w:r>
        <w:rPr>
          <w:rFonts w:hint="eastAsia" w:ascii="宋体" w:hAnsi="宋体" w:cs="宋体"/>
          <w:color w:val="auto"/>
          <w:sz w:val="24"/>
          <w:highlight w:val="none"/>
        </w:rPr>
        <w:t xml:space="preserve">资格</w:t>
      </w:r>
      <w:r>
        <w:rPr>
          <w:rFonts w:hint="eastAsia" w:ascii="宋体" w:hAnsi="宋体" w:eastAsia="宋体" w:cs="宋体"/>
          <w:color w:val="auto"/>
          <w:sz w:val="24"/>
          <w:highlight w:val="none"/>
          <w:lang w:val="zh-CN"/>
        </w:rPr>
        <w:t xml:space="preserve">及有效的安全生产考核合格证书（</w:t>
      </w:r>
      <w:r>
        <w:rPr>
          <w:rFonts w:hint="eastAsia" w:ascii="宋体" w:hAnsi="宋体" w:eastAsia="宋体" w:cs="宋体"/>
          <w:color w:val="auto"/>
          <w:sz w:val="24"/>
          <w:highlight w:val="none"/>
        </w:rPr>
        <w:t xml:space="preserve">B证</w:t>
      </w:r>
      <w:r>
        <w:rPr>
          <w:rFonts w:hint="eastAsia" w:ascii="宋体" w:hAnsi="宋体" w:eastAsia="宋体" w:cs="宋体"/>
          <w:color w:val="auto"/>
          <w:sz w:val="24"/>
          <w:highlight w:val="none"/>
          <w:lang w:val="zh-CN"/>
        </w:rPr>
        <w:t xml:space="preserve">）</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授权委托人及项目负责人应为投标供应商的在职职工，投标人法定代表人授权代表具备与本企业签订的劳动合同，及《职工养老保险手册》（内附近一年中任意一个月份（不含投标当月）的缴费清单）或由社保机构出具本企业的近一年中任意一个月份（不含投标当月）的缴费证明扫描件（由相关主管部门出具，新成立公司除外、法定代表人亲自参加投标的除外）</w:t>
      </w:r>
      <w:r>
        <w:rPr>
          <w:rFonts w:hint="eastAsia" w:ascii="宋体" w:hAnsi="宋体" w:eastAsia="宋体" w:cs="宋体"/>
          <w:color w:val="auto"/>
          <w:sz w:val="24"/>
          <w:szCs w:val="24"/>
          <w:highlight w:val="none"/>
          <w:lang w:val="zh-CN"/>
        </w:rPr>
        <w:t xml:space="preserve">；</w:t>
      </w:r>
      <w:r/>
    </w:p>
    <w:p>
      <w:pPr>
        <w:ind w:firstLine="482"/>
        <w:jc w:val="left"/>
        <w:spacing w:line="360" w:lineRule="auto"/>
        <w:shd w:val="clear" w:color="auto" w:fill="ffffff"/>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084"/>
          <w:rFonts w:ascii="宋体" w:hAnsi="宋体" w:eastAsia="宋体" w:cs="宋体"/>
          <w:color w:val="auto"/>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2025年12月02日09点30分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rPr>
          <w:rFonts w:hint="eastAsia" w:ascii="宋体" w:hAnsi="宋体" w:eastAsia="宋体" w:cs="宋体"/>
          <w:b/>
          <w:bCs/>
          <w:color w:val="auto"/>
          <w:sz w:val="24"/>
          <w:szCs w:val="24"/>
          <w:highlight w:val="none"/>
        </w:rPr>
        <w:t xml:space="preserve">本项目为不见面开标，报价人无需递交纸质投标文件至现场，中标后中标供应商向采购代理机构提供与电子投标文件完全一致的纸质投标文件（2份：一正、一副）</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1195"/>
        <w:ind w:firstLine="452"/>
        <w:keepLines w:val="0"/>
        <w:keepNext w:val="0"/>
        <w:spacing w:before="0" w:after="0" w:line="360" w:lineRule="auto"/>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名称：无锡市滨湖区荣巷街道办事处</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联系人：章威</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zh-CN"/>
        </w:rPr>
        <w:t xml:space="preserve">0510-85512275</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联系地址：无锡市滨湖区梁溪路888号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名称：无锡星瀚工程咨询管理有限公司</w:t>
      </w:r>
      <w:r/>
    </w:p>
    <w:p>
      <w:pPr>
        <w:ind w:firstLine="480"/>
        <w:jc w:val="left"/>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rPr>
        <w:t xml:space="preserve">谈永光</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pacing w:val="-6"/>
          <w:sz w:val="24"/>
          <w:szCs w:val="24"/>
          <w:highlight w:val="none"/>
        </w:rPr>
        <w:t xml:space="preserve">0510-82863595，17705166687</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地址：无锡市滨湖区锦溪路99号C区1单元火炬科创202室   </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邮箱：120747160@qq.com</w:t>
      </w:r>
      <w:r/>
    </w:p>
    <w:p>
      <w:pPr>
        <w:ind w:firstLine="482"/>
        <w:jc w:val="left"/>
        <w:spacing w:line="360" w:lineRule="auto"/>
        <w:shd w:val="clear" w:color="auto" w:fill="ffffff"/>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（1）访问点击“江苏省政府采购（苏采云）平台”</w:t>
      </w:r>
      <w:r>
        <w:rPr>
          <w:rFonts w:hint="eastAsia" w:ascii="宋体" w:hAnsi="宋体" w:eastAsia="宋体" w:cs="宋体"/>
          <w:bCs/>
          <w:color w:val="auto"/>
          <w:sz w:val="24"/>
          <w:szCs w:val="24"/>
          <w:highlight w:val="none"/>
        </w:rPr>
        <w:t xml:space="preserve">（以下简称“苏采云”系统）</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请有投标意向的供应商在招标文件有效获取期限内,从“江苏省政府采购（苏采云)平台”获取）的招标文件，视为依法获取的招标文件。</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技术支持QQ：：田女士：3071474382；王先生：897651173。</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auto"/>
          <w:sz w:val="24"/>
          <w:szCs w:val="24"/>
          <w:highlight w:val="none"/>
        </w:rPr>
        <w:t xml:space="preserve">招标文件提供期限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（三）有关本次采购的事项若存在变动或修改，敬请及时关注无锡星瀚工程咨询管理有限公司在“江苏政府采购网”发布的更正公告。</w:t>
      </w:r>
      <w:r/>
    </w:p>
    <w:p>
      <w:pPr>
        <w:ind w:firstLine="480"/>
        <w:spacing w:line="360" w:lineRule="auto"/>
        <w:tabs>
          <w:tab w:val="left" w:pos="900" w:leader="none"/>
        </w:tabs>
        <w:rPr>
          <w:rFonts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color w:val="auto"/>
          <w:highlight w:val="none"/>
        </w:rPr>
      </w:pPr>
      <w:r/>
      <w:bookmarkStart w:id="1" w:name="_Toc120614211"/>
      <w:r>
        <w:rPr>
          <w:rFonts w:hint="eastAsia" w:ascii="宋体" w:hAnsi="宋体" w:eastAsia="宋体" w:cs="宋体"/>
          <w:b/>
          <w:bCs/>
          <w:color w:val="auto"/>
          <w:sz w:val="48"/>
          <w:szCs w:val="48"/>
          <w:highlight w:val="none"/>
        </w:rPr>
        <w:t xml:space="preserve">第二章  </w:t>
      </w:r>
      <w:bookmarkEnd w:id="1"/>
      <w:r/>
      <w:bookmarkStart w:id="2" w:name="_Toc16938518"/>
      <w:r/>
      <w:bookmarkStart w:id="3" w:name="_Toc513029202"/>
      <w:r/>
      <w:bookmarkStart w:id="4" w:name="_Toc20823274"/>
      <w:r/>
      <w:bookmarkStart w:id="5" w:name="_Toc120614213"/>
      <w:r>
        <w:rPr>
          <w:rFonts w:hint="eastAsia" w:ascii="宋体" w:hAnsi="宋体" w:eastAsia="宋体" w:cs="宋体"/>
          <w:b/>
          <w:bCs/>
          <w:color w:val="auto"/>
          <w:sz w:val="48"/>
          <w:szCs w:val="48"/>
          <w:highlight w:val="none"/>
        </w:rPr>
        <w:t xml:space="preserve">投标人须知</w:t>
      </w:r>
      <w:bookmarkEnd w:id="2"/>
      <w:r/>
      <w:bookmarkEnd w:id="3"/>
      <w:r/>
      <w:bookmarkEnd w:id="4"/>
      <w:r/>
      <w:bookmarkEnd w:id="5"/>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6" w:name="_Toc120614214"/>
      <w:r/>
      <w:bookmarkStart w:id="7" w:name="_Toc513029203"/>
      <w:r/>
      <w:bookmarkStart w:id="8" w:name="_Toc16938519"/>
      <w:r/>
      <w:bookmarkStart w:id="9" w:name="_Toc20823275"/>
      <w:r>
        <w:rPr>
          <w:rFonts w:hint="eastAsia" w:ascii="宋体" w:hAnsi="宋体" w:cs="宋体"/>
          <w:color w:val="auto"/>
          <w:sz w:val="30"/>
          <w:szCs w:val="30"/>
          <w:highlight w:val="none"/>
          <w:lang w:eastAsia="zh-CN"/>
        </w:rPr>
        <w:t xml:space="preserve">一、总则</w:t>
      </w:r>
      <w:bookmarkEnd w:id="6"/>
      <w:r/>
      <w:bookmarkEnd w:id="7"/>
      <w:r/>
      <w:bookmarkEnd w:id="8"/>
      <w:r/>
      <w:bookmarkEnd w:id="9"/>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0" w:name="_Hlt16619475"/>
      <w:r/>
      <w:bookmarkEnd w:id="10"/>
      <w:r/>
      <w:bookmarkStart w:id="11" w:name="_Toc20823276"/>
      <w:r/>
      <w:bookmarkStart w:id="12" w:name="_Toc513029204"/>
      <w:r/>
      <w:bookmarkStart w:id="13" w:name="_Toc16938520"/>
      <w:r>
        <w:rPr>
          <w:rFonts w:hint="eastAsia" w:ascii="宋体" w:hAnsi="宋体" w:eastAsia="宋体" w:cs="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4" w:name="_Toc20823277"/>
      <w:r/>
      <w:bookmarkStart w:id="15" w:name="_Toc513029205"/>
      <w:r/>
      <w:bookmarkStart w:id="16" w:name="_Toc16938521"/>
      <w:r>
        <w:rPr>
          <w:rFonts w:hint="eastAsia" w:ascii="宋体" w:hAnsi="宋体" w:eastAsia="宋体" w:cs="宋体"/>
          <w:bCs w:val="0"/>
          <w:color w:val="auto"/>
          <w:highlight w:val="none"/>
          <w:lang w:eastAsia="zh-CN"/>
        </w:rPr>
        <w:t xml:space="preserve">2.</w:t>
      </w:r>
      <w:bookmarkEnd w:id="14"/>
      <w:r/>
      <w:bookmarkEnd w:id="15"/>
      <w:r/>
      <w:bookmarkEnd w:id="16"/>
      <w:r>
        <w:rPr>
          <w:rFonts w:hint="eastAsia" w:ascii="宋体" w:hAnsi="宋体" w:eastAsia="宋体" w:cs="宋体"/>
          <w:bCs w:val="0"/>
          <w:color w:val="auto"/>
          <w:highlight w:val="none"/>
          <w:lang w:eastAsia="zh-CN"/>
        </w:rPr>
        <w:t xml:space="preserve">采购人、采购代理机构、投标人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cs="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20" w:name="_Toc513029207"/>
      <w:r/>
      <w:bookmarkStart w:id="21" w:name="_Toc20823279"/>
      <w:r/>
      <w:bookmarkStart w:id="22" w:name="_Toc462564067"/>
      <w:r/>
      <w:bookmarkStart w:id="23" w:name="_Toc16938523"/>
      <w:r>
        <w:rPr>
          <w:rFonts w:hint="eastAsia" w:ascii="宋体" w:hAnsi="宋体" w:eastAsia="宋体" w:cs="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投标人应自行承担所有与参加投标有关的费用，无论投标过程中的做法和结果如何，无锡星瀚工程咨询管理有限公司在任何情况下均无义务和责任承担这些费用。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4.2本次招标标书工本费、招标文件均免费。</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24" w:name="_Toc120614215"/>
      <w:r/>
      <w:bookmarkStart w:id="25" w:name="_Toc20823281"/>
      <w:r/>
      <w:bookmarkStart w:id="26" w:name="_Toc16938525"/>
      <w:r/>
      <w:bookmarkStart w:id="27" w:name="_Toc513029209"/>
      <w:r>
        <w:rPr>
          <w:rFonts w:hint="eastAsia" w:ascii="宋体" w:hAnsi="宋体" w:cs="宋体"/>
          <w:color w:val="auto"/>
          <w:sz w:val="30"/>
          <w:szCs w:val="30"/>
          <w:highlight w:val="none"/>
          <w:lang w:eastAsia="zh-CN"/>
        </w:rPr>
        <w:t xml:space="preserve">二、招标文件</w:t>
      </w:r>
      <w:bookmarkEnd w:id="24"/>
      <w:r/>
      <w:bookmarkEnd w:id="25"/>
      <w:r/>
      <w:bookmarkEnd w:id="26"/>
      <w:r/>
      <w:bookmarkEnd w:id="27"/>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28" w:name="_Toc513029210"/>
      <w:r/>
      <w:bookmarkStart w:id="29" w:name="_Toc20823282"/>
      <w:r/>
      <w:bookmarkStart w:id="30" w:name="_Toc16938526"/>
      <w:r>
        <w:rPr>
          <w:rFonts w:hint="eastAsia" w:ascii="宋体" w:hAnsi="宋体" w:eastAsia="宋体" w:cs="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31" w:name="_Toc513029211"/>
      <w:r/>
      <w:bookmarkStart w:id="32" w:name="_Toc462564070"/>
      <w:r/>
      <w:bookmarkStart w:id="33" w:name="_Toc16938527"/>
      <w:r/>
      <w:bookmarkStart w:id="34" w:name="_Toc20823283"/>
      <w:r>
        <w:rPr>
          <w:rFonts w:hint="eastAsia" w:ascii="宋体" w:hAnsi="宋体" w:eastAsia="宋体" w:cs="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35" w:name="_Toc20823284"/>
      <w:r/>
      <w:bookmarkStart w:id="36" w:name="_Toc513029212"/>
      <w:r/>
      <w:bookmarkStart w:id="37" w:name="_Toc16938528"/>
      <w:r/>
      <w:bookmarkStart w:id="38" w:name="_Toc462564071"/>
      <w:r>
        <w:rPr>
          <w:rFonts w:hint="eastAsia" w:ascii="宋体" w:hAnsi="宋体" w:eastAsia="宋体" w:cs="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39" w:name="_Toc120614216"/>
      <w:r/>
      <w:bookmarkStart w:id="40" w:name="_Toc16938529"/>
      <w:r/>
      <w:bookmarkStart w:id="41" w:name="_Toc513029213"/>
      <w:r/>
      <w:bookmarkStart w:id="42" w:name="_Toc462564072"/>
      <w:r/>
      <w:bookmarkStart w:id="43" w:name="_Toc20823285"/>
      <w:r>
        <w:rPr>
          <w:rFonts w:hint="eastAsia" w:ascii="宋体" w:hAnsi="宋体" w:cs="宋体"/>
          <w:color w:val="auto"/>
          <w:sz w:val="30"/>
          <w:szCs w:val="30"/>
          <w:highlight w:val="none"/>
          <w:lang w:eastAsia="zh-CN"/>
        </w:rPr>
        <w:t xml:space="preserve">三、投标文件的编制</w:t>
      </w:r>
      <w:bookmarkEnd w:id="39"/>
      <w:r/>
      <w:bookmarkEnd w:id="40"/>
      <w:r/>
      <w:bookmarkEnd w:id="41"/>
      <w:r/>
      <w:bookmarkEnd w:id="42"/>
      <w:r/>
      <w:bookmarkEnd w:id="43"/>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44" w:name="_Toc513029214"/>
      <w:r/>
      <w:bookmarkStart w:id="45" w:name="_Toc16938530"/>
      <w:r/>
      <w:bookmarkStart w:id="46" w:name="_Toc462564073"/>
      <w:r/>
      <w:bookmarkStart w:id="47" w:name="_Toc20823286"/>
      <w:r>
        <w:rPr>
          <w:rFonts w:hint="eastAsia" w:ascii="宋体" w:hAnsi="宋体" w:eastAsia="宋体" w:cs="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48" w:name="_Toc462564074"/>
      <w:r/>
      <w:bookmarkStart w:id="49" w:name="_Toc513029215"/>
      <w:r/>
      <w:bookmarkStart w:id="50" w:name="_Toc16938531"/>
      <w:r/>
      <w:bookmarkStart w:id="51" w:name="_Toc20823287"/>
      <w:r>
        <w:rPr>
          <w:rFonts w:hint="eastAsia" w:ascii="宋体" w:hAnsi="宋体" w:eastAsia="宋体" w:cs="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rPr>
        <w:t xml:space="preserve">不得有体现投标人身份的内容是指：</w:t>
      </w:r>
      <w:r/>
    </w:p>
    <w:p>
      <w:pPr>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color w:val="auto"/>
          <w:sz w:val="24"/>
          <w:highlight w:val="none"/>
        </w:rPr>
      </w:pPr>
      <w:r>
        <w:rPr>
          <w:rFonts w:hint="eastAsia" w:ascii="宋体" w:hAnsi="宋体" w:eastAsia="宋体" w:cs="宋体"/>
          <w:b/>
          <w:color w:val="auto"/>
          <w:sz w:val="24"/>
          <w:szCs w:val="21"/>
          <w:highlight w:val="none"/>
        </w:rPr>
        <w:t xml:space="preserve">10.4.4不得有其他体现投标人身份的内容。</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52" w:name="_Hlt26668975"/>
      <w:r/>
      <w:bookmarkEnd w:id="52"/>
      <w:r/>
      <w:bookmarkStart w:id="53" w:name="_Hlt26954838"/>
      <w:r/>
      <w:bookmarkEnd w:id="53"/>
      <w:r/>
      <w:bookmarkStart w:id="54" w:name="_Hlt26670360"/>
      <w:r/>
      <w:bookmarkEnd w:id="54"/>
      <w:r/>
      <w:bookmarkStart w:id="55" w:name="_Toc14577357"/>
      <w:r/>
      <w:bookmarkStart w:id="56" w:name="_Toc49090507"/>
      <w:r/>
      <w:bookmarkStart w:id="57" w:name="_Toc513029219"/>
      <w:r/>
      <w:bookmarkStart w:id="58" w:name="_Toc14577354"/>
      <w:r/>
      <w:bookmarkStart w:id="59" w:name="_Toc49090509"/>
      <w:r/>
      <w:bookmarkStart w:id="60" w:name="_Toc513029216"/>
      <w:r>
        <w:rPr>
          <w:rFonts w:hint="eastAsia" w:ascii="宋体" w:hAnsi="宋体" w:eastAsia="宋体" w:cs="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宋体" w:cs="宋体"/>
          <w:bCs/>
          <w:color w:val="auto"/>
          <w:sz w:val="24"/>
          <w:highlight w:val="none"/>
        </w:rPr>
      </w:pPr>
      <w:r/>
      <w:bookmarkStart w:id="61" w:name="_Toc14577355"/>
      <w:r/>
      <w:bookmarkStart w:id="62" w:name="_Toc49090508"/>
      <w:r>
        <w:rPr>
          <w:rFonts w:hint="eastAsia" w:ascii="宋体" w:hAnsi="宋体" w:eastAsia="宋体" w:cs="宋体"/>
          <w:bCs/>
          <w:color w:val="auto"/>
          <w:sz w:val="24"/>
          <w:highlight w:val="none"/>
        </w:rPr>
        <w:t xml:space="preserve">11.1投标人应按照法律法规、规章和规范性文件以及招标文件要求提交证明文件，证明其及投标标的符合招标文件的规定。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63" w:name="_Toc14577359"/>
      <w:r/>
      <w:bookmarkStart w:id="64" w:name="_Toc49090510"/>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1"/>
      <w:r/>
      <w:bookmarkEnd w:id="62"/>
      <w:r>
        <w:rPr>
          <w:rFonts w:hint="eastAsia" w:ascii="宋体" w:hAnsi="宋体" w:eastAsia="宋体" w:cs="宋体"/>
          <w:bCs w:val="0"/>
          <w:color w:val="auto"/>
          <w:highlight w:val="none"/>
          <w:lang w:eastAsia="zh-CN"/>
        </w:rPr>
        <w:t xml:space="preserve">分项报价表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5" w:name="_Hlt26954840"/>
      <w:r/>
      <w:bookmarkEnd w:id="65"/>
      <w:r>
        <w:rPr>
          <w:rFonts w:hint="eastAsia" w:ascii="宋体" w:hAnsi="宋体" w:eastAsia="宋体" w:cs="宋体"/>
          <w:color w:val="auto"/>
          <w:sz w:val="24"/>
          <w:highlight w:val="none"/>
        </w:rPr>
        <w:t xml:space="preserve">标人应按照招标文件规定格式填报</w:t>
      </w:r>
      <w:bookmarkStart w:id="66" w:name="_Hlt26670399"/>
      <w:r/>
      <w:bookmarkEnd w:id="66"/>
      <w:r>
        <w:rPr>
          <w:rFonts w:hint="eastAsia" w:ascii="宋体" w:hAnsi="宋体" w:eastAsia="宋体" w:cs="宋体"/>
          <w:color w:val="auto"/>
          <w:sz w:val="24"/>
          <w:highlight w:val="none"/>
        </w:rPr>
        <w:t xml:space="preserve">分项报价表。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67" w:name="_Hlt26670482"/>
      <w:r/>
      <w:bookmarkEnd w:id="67"/>
      <w:r/>
      <w:bookmarkStart w:id="68" w:name="_Hlt26670425"/>
      <w:r/>
      <w:bookmarkEnd w:id="68"/>
      <w:r/>
      <w:bookmarkStart w:id="69" w:name="_Hlt26670486"/>
      <w:r/>
      <w:bookmarkEnd w:id="69"/>
      <w:r/>
      <w:bookmarkStart w:id="70" w:name="_Hlt26954842"/>
      <w:r/>
      <w:bookmarkEnd w:id="70"/>
      <w:r/>
      <w:bookmarkStart w:id="71" w:name="_Hlt26954848"/>
      <w:r/>
      <w:bookmarkEnd w:id="71"/>
      <w:r/>
      <w:bookmarkStart w:id="72" w:name="_Hlt26954731"/>
      <w:r/>
      <w:bookmarkEnd w:id="72"/>
      <w:r/>
      <w:bookmarkStart w:id="73" w:name="_Hlt26954844"/>
      <w:r/>
      <w:bookmarkEnd w:id="73"/>
      <w:r/>
      <w:bookmarkStart w:id="74" w:name="_Hlt26954846"/>
      <w:r/>
      <w:bookmarkEnd w:id="74"/>
      <w:r/>
      <w:bookmarkStart w:id="75" w:name="_Hlt26670403"/>
      <w:r/>
      <w:bookmarkEnd w:id="75"/>
      <w:r/>
      <w:bookmarkStart w:id="76" w:name="_Hlt26668983"/>
      <w:r/>
      <w:bookmarkEnd w:id="76"/>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77" w:name="_Hlt26670489"/>
      <w:r/>
      <w:bookmarkEnd w:id="77"/>
      <w:r/>
      <w:bookmarkStart w:id="78" w:name="_Hlt26954734"/>
      <w:r/>
      <w:bookmarkEnd w:id="78"/>
      <w:r/>
      <w:bookmarkStart w:id="79" w:name="_Hlt26954850"/>
      <w:r/>
      <w:bookmarkEnd w:id="79"/>
      <w:r/>
      <w:bookmarkStart w:id="80" w:name="_Toc49090511"/>
      <w:r/>
      <w:bookmarkStart w:id="81" w:name="_Toc14577360"/>
      <w:r>
        <w:rPr>
          <w:rFonts w:hint="eastAsia" w:ascii="宋体" w:hAnsi="宋体" w:eastAsia="宋体" w:cs="宋体"/>
          <w:bCs w:val="0"/>
          <w:color w:val="auto"/>
          <w:highlight w:val="none"/>
          <w:lang w:eastAsia="zh-CN"/>
        </w:rPr>
        <w:t xml:space="preserve">15.投标有效期</w:t>
      </w:r>
      <w:bookmarkEnd w:id="80"/>
      <w:r/>
      <w:bookmarkEnd w:id="81"/>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82" w:name="_Hlt26954739"/>
      <w:r/>
      <w:bookmarkEnd w:id="82"/>
      <w:r/>
      <w:bookmarkStart w:id="83" w:name="_Hlt26954852"/>
      <w:r/>
      <w:bookmarkEnd w:id="83"/>
      <w:r/>
      <w:bookmarkStart w:id="84" w:name="_Toc20823296"/>
      <w:r/>
      <w:bookmarkStart w:id="85" w:name="_Toc16938540"/>
      <w:r/>
      <w:bookmarkStart w:id="86" w:name="_Toc120614217"/>
      <w:r/>
      <w:bookmarkStart w:id="87" w:name="_Toc513029224"/>
      <w:r>
        <w:rPr>
          <w:rFonts w:hint="eastAsia" w:ascii="宋体" w:hAnsi="宋体" w:cs="宋体"/>
          <w:color w:val="auto"/>
          <w:sz w:val="30"/>
          <w:szCs w:val="30"/>
          <w:highlight w:val="none"/>
          <w:lang w:eastAsia="zh-CN"/>
        </w:rPr>
        <w:t xml:space="preserve">四、投标文件的递交</w:t>
      </w:r>
      <w:bookmarkEnd w:id="84"/>
      <w:r/>
      <w:bookmarkEnd w:id="85"/>
      <w:r/>
      <w:bookmarkEnd w:id="86"/>
      <w:r/>
      <w:bookmarkEnd w:id="87"/>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88" w:name="_Toc16938541"/>
      <w:r/>
      <w:bookmarkStart w:id="89" w:name="_Toc20823297"/>
      <w:r/>
      <w:bookmarkStart w:id="90" w:name="_Toc513029225"/>
      <w:r/>
      <w:bookmarkStart w:id="91" w:name="_Toc462564084"/>
      <w:r>
        <w:rPr>
          <w:rFonts w:hint="eastAsia" w:ascii="宋体" w:hAnsi="宋体" w:eastAsia="宋体" w:cs="宋体"/>
          <w:bCs w:val="0"/>
          <w:color w:val="auto"/>
          <w:highlight w:val="none"/>
          <w:lang w:eastAsia="zh-CN"/>
        </w:rPr>
        <w:t xml:space="preserve">17.投标文件</w:t>
      </w:r>
      <w:bookmarkEnd w:id="88"/>
      <w:r/>
      <w:bookmarkEnd w:id="89"/>
      <w:r/>
      <w:bookmarkEnd w:id="90"/>
      <w:r/>
      <w:bookmarkEnd w:id="91"/>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43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投标人应当按照《操作手册》规定，在投标截止时间前制作并上传电子投标文件。</w:t>
      </w:r>
      <w:bookmarkStart w:id="92" w:name="_Toc513029226"/>
      <w:r/>
      <w:bookmarkStart w:id="93" w:name="_Toc16938542"/>
      <w:r/>
      <w:bookmarkStart w:id="94" w:name="_Toc20823298"/>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2"/>
      <w:r/>
      <w:bookmarkEnd w:id="93"/>
      <w:r/>
      <w:bookmarkEnd w:id="94"/>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95" w:name="_Toc16938543"/>
      <w:r/>
      <w:bookmarkStart w:id="96" w:name="_Toc513029227"/>
      <w:r/>
      <w:bookmarkStart w:id="97" w:name="_Toc20823299"/>
      <w:r>
        <w:rPr>
          <w:rFonts w:hint="eastAsia" w:ascii="宋体" w:hAnsi="宋体" w:eastAsia="宋体" w:cs="宋体"/>
          <w:bCs w:val="0"/>
          <w:color w:val="auto"/>
          <w:highlight w:val="none"/>
          <w:lang w:eastAsia="zh-CN"/>
        </w:rPr>
        <w:t xml:space="preserve">19.投标文件</w:t>
      </w:r>
      <w:bookmarkEnd w:id="95"/>
      <w:r/>
      <w:bookmarkEnd w:id="96"/>
      <w:r/>
      <w:bookmarkEnd w:id="97"/>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98" w:name="_Toc20823300"/>
      <w:r/>
      <w:bookmarkStart w:id="99" w:name="_Toc513029228"/>
      <w:r/>
      <w:bookmarkStart w:id="100" w:name="_Toc16938544"/>
      <w:r>
        <w:rPr>
          <w:rFonts w:hint="eastAsia" w:ascii="宋体" w:hAnsi="宋体" w:eastAsia="宋体" w:cs="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101" w:name="_Toc16938545"/>
      <w:r/>
      <w:bookmarkStart w:id="102" w:name="_Toc513029229"/>
      <w:r/>
      <w:bookmarkStart w:id="103" w:name="_Toc20823301"/>
      <w:r/>
      <w:bookmarkStart w:id="104" w:name="_Toc120614218"/>
      <w:r>
        <w:rPr>
          <w:rFonts w:hint="eastAsia" w:ascii="宋体" w:hAnsi="宋体" w:cs="宋体"/>
          <w:color w:val="auto"/>
          <w:sz w:val="30"/>
          <w:szCs w:val="30"/>
          <w:highlight w:val="none"/>
          <w:lang w:eastAsia="zh-CN"/>
        </w:rPr>
        <w:t xml:space="preserve">五、开标与评标</w:t>
      </w:r>
      <w:bookmarkEnd w:id="101"/>
      <w:r/>
      <w:bookmarkEnd w:id="102"/>
      <w:r/>
      <w:bookmarkEnd w:id="103"/>
      <w:r/>
      <w:bookmarkEnd w:id="104"/>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05" w:name="_Toc20823302"/>
      <w:r/>
      <w:bookmarkStart w:id="106" w:name="_Toc513029230"/>
      <w:r/>
      <w:bookmarkStart w:id="107" w:name="_Toc16938546"/>
      <w:r>
        <w:rPr>
          <w:rFonts w:hint="eastAsia" w:ascii="宋体" w:hAnsi="宋体" w:eastAsia="宋体" w:cs="宋体"/>
          <w:bCs w:val="0"/>
          <w:color w:val="auto"/>
          <w:highlight w:val="none"/>
          <w:lang w:eastAsia="zh-CN"/>
        </w:rPr>
        <w:t xml:space="preserve">21.开标</w:t>
      </w:r>
      <w:bookmarkEnd w:id="105"/>
      <w:r/>
      <w:bookmarkEnd w:id="106"/>
      <w:r/>
      <w:bookmarkEnd w:id="107"/>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08" w:name="_Toc20823303"/>
      <w:r/>
      <w:bookmarkStart w:id="109" w:name="_Toc16938547"/>
      <w:r/>
      <w:bookmarkStart w:id="110"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11" w:name="_Toc16938548"/>
      <w:r/>
      <w:bookmarkStart w:id="112" w:name="_Toc513029232"/>
      <w:r/>
      <w:bookmarkStart w:id="113" w:name="_Toc20823304"/>
      <w:r>
        <w:rPr>
          <w:rFonts w:hint="eastAsia" w:ascii="宋体" w:hAnsi="宋体" w:eastAsia="宋体" w:cs="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14" w:name="_Toc16938549"/>
      <w:r/>
      <w:bookmarkStart w:id="115" w:name="_Toc513029233"/>
      <w:r/>
      <w:bookmarkStart w:id="116" w:name="_Toc20823305"/>
      <w:r>
        <w:rPr>
          <w:rFonts w:hint="eastAsia" w:ascii="宋体" w:hAnsi="宋体" w:eastAsia="宋体" w:cs="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失信被执行人、重大税收违法案件主体名单、政府采购严重违法失信行为记录名单，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25.1.3</w:t>
      </w:r>
      <w:r>
        <w:rPr>
          <w:rFonts w:hint="eastAsia" w:ascii="宋体" w:hAnsi="宋体" w:eastAsia="宋体" w:cs="宋体"/>
          <w:color w:val="auto"/>
          <w:sz w:val="24"/>
          <w:szCs w:val="24"/>
          <w:highlight w:val="none"/>
        </w:rPr>
        <w:t xml:space="preserve">强化政府采购异常低价审查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评审委员会认定的供应商报价过低、有可能影响产品质量或者不能诚信履约的其他情形。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25.1.4未通过资格审查或符合性审查的投标人，将在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7" w:name="_Toc513029234"/>
      <w:r/>
      <w:bookmarkStart w:id="118" w:name="_Toc16938550"/>
      <w:r/>
      <w:bookmarkStart w:id="119"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7"/>
      <w:r/>
      <w:bookmarkEnd w:id="118"/>
      <w:r/>
      <w:bookmarkEnd w:id="119"/>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20" w:name="_Toc16938551"/>
      <w:r/>
      <w:bookmarkStart w:id="121" w:name="_Toc20823307"/>
      <w:r/>
      <w:bookmarkStart w:id="122" w:name="_Toc513029235"/>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）、中国政府采购网（www.ccgp.gov.cn）列入失信被执行人或重大税收违法案件主体名单或政府采购严重违法失信行为记录名单的。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26.1.24其他法律法规及本招标文件规定的属无效投标的情形。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26.2.1符合专业条件的供应商或者对招标文件做实质响应的供应商不足三家的。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26.5商务标（明标）和技术标（暗标），其中某一标被本项目评委确认为无效投标文件的；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26.6暗标未按要求编制，编制粗糙、缺漏项、格式混乱、条理不清的；</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123" w:name="_Toc120614219"/>
      <w:r>
        <w:rPr>
          <w:rFonts w:hint="eastAsia" w:ascii="宋体" w:hAnsi="宋体" w:cs="宋体"/>
          <w:color w:val="auto"/>
          <w:sz w:val="30"/>
          <w:szCs w:val="30"/>
          <w:highlight w:val="none"/>
          <w:lang w:eastAsia="zh-CN"/>
        </w:rPr>
        <w:t xml:space="preserve">六、</w:t>
      </w:r>
      <w:bookmarkEnd w:id="120"/>
      <w:r/>
      <w:bookmarkEnd w:id="121"/>
      <w:r/>
      <w:bookmarkEnd w:id="122"/>
      <w:r>
        <w:rPr>
          <w:rFonts w:hint="eastAsia" w:ascii="宋体" w:hAnsi="宋体" w:cs="宋体"/>
          <w:color w:val="auto"/>
          <w:sz w:val="30"/>
          <w:szCs w:val="30"/>
          <w:highlight w:val="none"/>
          <w:lang w:eastAsia="zh-CN"/>
        </w:rPr>
        <w:t xml:space="preserve">定标</w:t>
      </w:r>
      <w:bookmarkEnd w:id="123"/>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cs="宋体"/>
          <w:bCs w:val="0"/>
          <w:color w:val="auto"/>
          <w:highlight w:val="none"/>
          <w:lang w:eastAsia="zh-CN"/>
        </w:rPr>
        <w:t xml:space="preserve">27</w:t>
      </w:r>
      <w:bookmarkEnd w:id="124"/>
      <w:r>
        <w:rPr>
          <w:rFonts w:hint="eastAsia" w:ascii="宋体" w:hAnsi="宋体" w:eastAsia="宋体" w:cs="宋体"/>
          <w:bCs w:val="0"/>
          <w:color w:val="auto"/>
          <w:highlight w:val="none"/>
          <w:lang w:eastAsia="zh-CN"/>
        </w:rPr>
        <w:t xml:space="preserve">.确定</w:t>
      </w:r>
      <w:bookmarkEnd w:id="125"/>
      <w:r/>
      <w:bookmarkEnd w:id="126"/>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7"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195"/>
        <w:ind w:firstLine="452"/>
        <w:keepLines w:val="0"/>
        <w:keepNext w:val="0"/>
        <w:spacing w:before="0" w:after="0" w:line="360" w:lineRule="auto"/>
        <w:rPr>
          <w:rFonts w:ascii="宋体" w:hAnsi="宋体" w:cs="宋体"/>
          <w:color w:val="auto"/>
          <w:sz w:val="30"/>
          <w:szCs w:val="30"/>
          <w:highlight w:val="none"/>
          <w:lang w:eastAsia="zh-CN"/>
        </w:rPr>
      </w:pPr>
      <w:r/>
      <w:bookmarkStart w:id="128" w:name="_Toc120614220"/>
      <w:r/>
      <w:bookmarkStart w:id="129" w:name="_Toc20823308"/>
      <w:r/>
      <w:bookmarkStart w:id="130" w:name="_Toc16938552"/>
      <w:r/>
      <w:bookmarkStart w:id="131" w:name="_Toc513029236"/>
      <w:r>
        <w:rPr>
          <w:rFonts w:hint="eastAsia" w:ascii="宋体" w:hAnsi="宋体" w:cs="宋体"/>
          <w:color w:val="auto"/>
          <w:sz w:val="30"/>
          <w:szCs w:val="30"/>
          <w:highlight w:val="none"/>
          <w:lang w:eastAsia="zh-CN"/>
        </w:rPr>
        <w:t xml:space="preserve">七、授予合同</w:t>
      </w:r>
      <w:bookmarkEnd w:id="128"/>
      <w:r/>
      <w:bookmarkEnd w:id="129"/>
      <w:r/>
      <w:bookmarkEnd w:id="130"/>
      <w:r/>
      <w:bookmarkEnd w:id="131"/>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bookmarkStart w:id="132" w:name="_Toc20823309"/>
      <w:r/>
      <w:bookmarkStart w:id="133" w:name="_Toc513029237"/>
      <w:r/>
      <w:bookmarkStart w:id="134"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353"/>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350"/>
        <w:spacing w:line="360" w:lineRule="auto"/>
        <w:tabs>
          <w:tab w:val="left" w:pos="420" w:leader="none"/>
        </w:tabs>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32.代理服务费</w:t>
      </w:r>
      <w:r/>
    </w:p>
    <w:p>
      <w:pPr>
        <w:pStyle w:val="1350"/>
        <w:ind w:firstLine="480"/>
        <w:spacing w:line="360" w:lineRule="auto"/>
        <w:rPr>
          <w:rFonts w:ascii="仿宋_GB2312" w:hAnsi="宋体"/>
          <w:color w:val="auto"/>
          <w:sz w:val="24"/>
          <w:highlight w:val="none"/>
          <w:u w:val="single"/>
          <w:lang w:eastAsia="zh-CN"/>
        </w:rPr>
      </w:pPr>
      <w:r>
        <w:rPr>
          <w:rFonts w:hint="eastAsia" w:ascii="宋体" w:hAnsi="宋体" w:cs="宋体"/>
          <w:color w:val="auto"/>
          <w:sz w:val="24"/>
          <w:highlight w:val="none"/>
          <w:lang w:eastAsia="zh-CN"/>
        </w:rPr>
        <w:t xml:space="preserve">1.本次招标代理费由采购人支付。</w:t>
      </w:r>
      <w:r>
        <w:rPr>
          <w:rFonts w:hint="eastAsia" w:ascii="仿宋_GB2312" w:hAnsi="宋体"/>
          <w:color w:val="auto"/>
          <w:sz w:val="24"/>
          <w:highlight w:val="none"/>
          <w:u w:val="single"/>
          <w:lang w:eastAsia="zh-CN"/>
        </w:rPr>
        <w:t xml:space="preserve"> 1）代理服务费按照差额定律累进计费方式计算，标准如下：中标金额100万元以下的部分,服务类采购费率1.50%；中标金额100万元至500万元（含）的部分,服务类采购费率0.80%；中标金额500万元至1000万元（含）的部分,服务类采购费率0.80%按上述标准的80%计取。2）编标费按发改委苏价服【2014】383号的80%计取，不满3000元按3000元打80%计取。</w:t>
      </w:r>
      <w:r/>
    </w:p>
    <w:p>
      <w:pPr>
        <w:pStyle w:val="1350"/>
        <w:ind w:firstLine="480"/>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p>
      <w:pPr>
        <w:pStyle w:val="1350"/>
        <w:ind w:firstLine="0"/>
        <w:spacing w:line="360" w:lineRule="auto"/>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bookmarkEnd w:id="132"/>
      <w:r/>
      <w:bookmarkEnd w:id="133"/>
      <w:r/>
      <w:bookmarkEnd w:id="134"/>
      <w:r/>
      <w:r/>
    </w:p>
    <w:p>
      <w:pPr>
        <w:pStyle w:val="1350"/>
        <w:jc w:val="center"/>
        <w:spacing w:line="360" w:lineRule="auto"/>
        <w:rPr>
          <w:rFonts w:ascii="宋体" w:hAnsi="宋体" w:cs="宋体"/>
          <w:color w:val="auto"/>
          <w:sz w:val="36"/>
          <w:szCs w:val="36"/>
          <w:highlight w:val="none"/>
          <w:lang w:eastAsia="zh-CN"/>
        </w:rPr>
      </w:pPr>
      <w:r>
        <w:rPr>
          <w:rFonts w:ascii="宋体" w:hAnsi="宋体" w:cs="宋体"/>
          <w:color w:val="auto"/>
          <w:sz w:val="36"/>
          <w:szCs w:val="36"/>
          <w:highlight w:val="none"/>
          <w:lang w:eastAsia="zh-CN"/>
        </w:rPr>
      </w:r>
      <w:r/>
    </w:p>
    <w:p>
      <w:pPr>
        <w:pStyle w:val="1350"/>
        <w:jc w:val="center"/>
        <w:spacing w:line="360" w:lineRule="auto"/>
        <w:rPr>
          <w:rFonts w:ascii="宋体" w:hAnsi="宋体" w:cs="宋体"/>
          <w:color w:val="auto"/>
          <w:sz w:val="36"/>
          <w:szCs w:val="36"/>
          <w:highlight w:val="none"/>
          <w:lang w:eastAsia="zh-CN"/>
        </w:rPr>
        <w:sectPr>
          <w:footerReference w:type="default" r:id="rId15"/>
          <w:footerReference w:type="first" r:id="rId16"/>
          <w:footnotePr/>
          <w:endnotePr/>
          <w:type w:val="nextPage"/>
          <w:pgSz w:w="11906" w:h="16838" w:orient="portrait"/>
          <w:pgMar w:top="850" w:right="851" w:bottom="850" w:left="850" w:header="624" w:footer="907" w:gutter="0"/>
          <w:cols w:num="1" w:sep="0" w:space="0" w:equalWidth="1"/>
          <w:docGrid w:linePitch="360"/>
          <w:titlePg/>
        </w:sectPr>
      </w:pPr>
      <w:r>
        <w:rPr>
          <w:rFonts w:ascii="宋体" w:hAnsi="宋体" w:cs="宋体"/>
          <w:color w:val="auto"/>
          <w:sz w:val="36"/>
          <w:szCs w:val="36"/>
          <w:highlight w:val="none"/>
          <w:lang w:eastAsia="zh-CN"/>
        </w:rPr>
      </w:r>
      <w:r/>
    </w:p>
    <w:p>
      <w:pPr>
        <w:jc w:val="center"/>
        <w:spacing w:line="360" w:lineRule="auto"/>
        <w:rPr>
          <w:rFonts w:ascii="宋体" w:hAnsi="宋体" w:eastAsia="宋体" w:cs="宋体"/>
          <w:b/>
          <w:bCs/>
          <w:color w:val="auto"/>
          <w:sz w:val="48"/>
          <w:szCs w:val="48"/>
          <w:highlight w:val="none"/>
        </w:rPr>
      </w:pPr>
      <w:r/>
      <w:bookmarkStart w:id="135" w:name="_Toc513029242"/>
      <w:r/>
      <w:bookmarkStart w:id="136" w:name="_Toc16938558"/>
      <w:r/>
      <w:bookmarkStart w:id="137" w:name="_Toc20823314"/>
      <w:r/>
      <w:bookmarkStart w:id="138" w:name="_Toc120614221"/>
      <w:r/>
      <w:bookmarkStart w:id="139" w:name="_Toc479757207"/>
      <w:r>
        <w:rPr>
          <w:rFonts w:hint="eastAsia" w:ascii="宋体" w:hAnsi="宋体" w:eastAsia="宋体" w:cs="宋体"/>
          <w:b/>
          <w:bCs/>
          <w:color w:val="auto"/>
          <w:sz w:val="48"/>
          <w:szCs w:val="48"/>
          <w:highlight w:val="none"/>
        </w:rPr>
        <w:t xml:space="preserve">第三章  合同</w:t>
      </w:r>
      <w:bookmarkEnd w:id="135"/>
      <w:r/>
      <w:bookmarkEnd w:id="136"/>
      <w:r/>
      <w:bookmarkEnd w:id="137"/>
      <w:r/>
      <w:bookmarkEnd w:id="138"/>
      <w:r/>
      <w:bookmarkEnd w:id="139"/>
      <w:r>
        <w:rPr>
          <w:rFonts w:hint="eastAsia" w:ascii="宋体" w:hAnsi="宋体" w:eastAsia="宋体" w:cs="宋体"/>
          <w:b/>
          <w:bCs/>
          <w:color w:val="auto"/>
          <w:sz w:val="48"/>
          <w:szCs w:val="48"/>
          <w:highlight w:val="none"/>
        </w:rPr>
        <w:t xml:space="preserve">文本</w:t>
      </w:r>
      <w:r/>
    </w:p>
    <w:p>
      <w:pPr>
        <w:ind w:left="720" w:hanging="720"/>
        <w:jc w:val="center"/>
        <w:keepLines w:val="0"/>
        <w:keepNext/>
        <w:pageBreakBefore w:val="0"/>
        <w:spacing w:before="120" w:after="120" w:line="460" w:lineRule="exact"/>
        <w:widowControl/>
        <w:tabs>
          <w:tab w:val="left" w:pos="720" w:leader="none"/>
        </w:tabs>
        <w:rPr>
          <w:rFonts w:hint="eastAsia" w:ascii="宋体" w:hAnsi="宋体" w:eastAsia="宋体" w:cs="宋体"/>
          <w:color w:val="auto"/>
          <w:highlight w:val="none"/>
          <w:lang w:val="en-US" w:eastAsia="zh-CN"/>
        </w:rPr>
        <w:outlineLvl w:val="2"/>
      </w:pPr>
      <w:r/>
      <w:bookmarkStart w:id="140" w:name="_Hlt16619350"/>
      <w:r/>
      <w:bookmarkStart w:id="141" w:name="_Toc20823346"/>
      <w:r/>
      <w:bookmarkStart w:id="142" w:name="_Toc16938590"/>
      <w:r/>
      <w:bookmarkStart w:id="143" w:name="_Toc120614244"/>
      <w:r>
        <w:rPr>
          <w:rFonts w:hint="eastAsia" w:ascii="宋体" w:hAnsi="宋体" w:eastAsia="宋体" w:cs="宋体"/>
          <w:b/>
          <w:bCs/>
          <w:color w:val="auto"/>
          <w:sz w:val="28"/>
          <w:szCs w:val="28"/>
          <w:highlight w:val="none"/>
          <w:lang w:val="en-US" w:eastAsia="zh-CN" w:bidi="ar-SA"/>
        </w:rPr>
        <w:t xml:space="preserve">合同协议书</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发包人（甲方）：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承包人（乙方）：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根据《中华人民共和国民法典》、《中华人民共和国建筑法》、本次政府采购服务的招投标文件及有关法律规定，遵循平等、自愿、公平和诚实信用的原则，双方就</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项目及有关事项协商一致，共同达成如下协议：</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一、项目概况</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项目名称：</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项目地点： </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合同期限：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二、承包方式</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由乙方以包工、包料、包质量、包安全、包文明施工的方式实施总承包，乙方应对全部运行维护工程负责。本项目不得转让分包，一经发现上述行为，甲方单方有权立即终止综合运行维护工程承包合同，由此产生一切法律责任和经济损失均由乙方承担。</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三、运行维护质量标准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1、依据《城镇排水管渠及泵站维护技术规范》（CJJ68-2016）和《滨湖区公共污水管网（设施）养护作业参考标准》执行。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排水设施进行巡查，每个月不少于一次，汛期要按要求增加巡视次数，确保沟管畅通，检查井井框盖完好吻合，井内的积淤符合要求，井圈和井盖开裂、丢失应在24小时之内补装完整，并做好安全保护警示措施，以防发生意外事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3、在对排水设施进行维修时，应按《无锡市建设工程文明施工管理办法》（市人民政府令第120号）和《无锡市建设工程安全生产管理条例》的要求实施，同时交通围护也应符合有关规范和规定的要求。</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四、合同价款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合同价人民币(大写)：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五、考核标准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按照《无锡市控源截污排水达标区运行维护考核细则（试行）》锡政园用[2011]16号执行。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w:t>
      </w:r>
      <w:r>
        <w:rPr>
          <w:rFonts w:hint="eastAsia" w:ascii="宋体" w:hAnsi="宋体" w:eastAsia="宋体" w:cs="宋体"/>
          <w:bCs/>
          <w:color w:val="auto"/>
          <w:highlight w:val="none"/>
          <w:lang w:val="en-US" w:eastAsia="zh-CN"/>
        </w:rPr>
        <w:t xml:space="preserve">街道</w:t>
      </w:r>
      <w:r>
        <w:rPr>
          <w:rFonts w:hint="eastAsia" w:ascii="宋体" w:hAnsi="宋体" w:eastAsia="宋体" w:cs="宋体"/>
          <w:bCs/>
          <w:color w:val="auto"/>
          <w:highlight w:val="none"/>
        </w:rPr>
        <w:t xml:space="preserve">排水管理部门考核，月考得分在90分以上（包括90分），则全额支付该月度运行维护费用。月考得分在85~90分（包括85分）则扣除当月养护经费的10%；月考得分在80~85分（包括80分）则扣除当月养护经费的20%；考核分低于80分的则扣除当月养护经费的40%，或暂缓支付养护经费，待整改到位后支付。</w:t>
      </w:r>
      <w:r/>
    </w:p>
    <w:p>
      <w:pPr>
        <w:numPr>
          <w:ilvl w:val="0"/>
          <w:numId w:val="6"/>
        </w:numPr>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合同签订方式：</w:t>
      </w:r>
      <w:r/>
    </w:p>
    <w:p>
      <w:pPr>
        <w:numPr>
          <w:ilvl w:val="0"/>
          <w:numId w:val="0"/>
        </w:num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此合同按自然年签订，一年一签。</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七</w:t>
      </w:r>
      <w:r>
        <w:rPr>
          <w:rFonts w:hint="eastAsia" w:ascii="宋体" w:hAnsi="宋体" w:eastAsia="宋体" w:cs="宋体"/>
          <w:bCs/>
          <w:color w:val="auto"/>
          <w:highlight w:val="none"/>
        </w:rPr>
        <w:t xml:space="preserve">、付款方式：</w:t>
      </w:r>
      <w:r/>
    </w:p>
    <w:p>
      <w:pPr>
        <w:ind w:firstLine="42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款项按年支付，</w:t>
      </w:r>
      <w:r>
        <w:rPr>
          <w:rFonts w:hint="eastAsia" w:ascii="宋体" w:hAnsi="宋体" w:eastAsia="宋体" w:cs="宋体"/>
          <w:bCs/>
          <w:color w:val="auto"/>
          <w:highlight w:val="none"/>
        </w:rPr>
        <w:t xml:space="preserve">一年支付</w:t>
      </w:r>
      <w:r>
        <w:rPr>
          <w:rFonts w:hint="eastAsia" w:ascii="宋体" w:hAnsi="宋体" w:eastAsia="宋体" w:cs="宋体"/>
          <w:bCs/>
          <w:color w:val="auto"/>
          <w:highlight w:val="none"/>
          <w:lang w:val="en-US" w:eastAsia="zh-CN"/>
        </w:rPr>
        <w:t xml:space="preserve">两次</w:t>
      </w:r>
      <w:r>
        <w:rPr>
          <w:rFonts w:hint="eastAsia" w:ascii="宋体" w:hAnsi="宋体" w:eastAsia="宋体" w:cs="宋体"/>
          <w:bCs/>
          <w:color w:val="auto"/>
          <w:highlight w:val="none"/>
        </w:rPr>
        <w:t xml:space="preserve">，具体为：第一次</w:t>
      </w:r>
      <w:r>
        <w:rPr>
          <w:rFonts w:hint="eastAsia" w:ascii="宋体" w:hAnsi="宋体" w:eastAsia="宋体" w:cs="宋体"/>
          <w:bCs/>
          <w:color w:val="auto"/>
          <w:highlight w:val="none"/>
          <w:lang w:val="en-US" w:eastAsia="zh-CN"/>
        </w:rPr>
        <w:t xml:space="preserve">半年度服务期满</w:t>
      </w:r>
      <w:r>
        <w:rPr>
          <w:rFonts w:hint="eastAsia" w:ascii="宋体" w:hAnsi="宋体" w:eastAsia="宋体" w:cs="宋体"/>
          <w:bCs/>
          <w:color w:val="auto"/>
          <w:highlight w:val="none"/>
        </w:rPr>
        <w:t xml:space="preserve">支付至</w:t>
      </w:r>
      <w:r>
        <w:rPr>
          <w:rFonts w:hint="eastAsia" w:ascii="宋体" w:hAnsi="宋体" w:eastAsia="宋体" w:cs="宋体"/>
          <w:bCs/>
          <w:color w:val="auto"/>
          <w:highlight w:val="none"/>
          <w:lang w:val="en-US" w:eastAsia="zh-CN"/>
        </w:rPr>
        <w:t xml:space="preserve">当年</w:t>
      </w:r>
      <w:r>
        <w:rPr>
          <w:rFonts w:hint="eastAsia" w:ascii="宋体" w:hAnsi="宋体" w:eastAsia="宋体" w:cs="宋体"/>
          <w:bCs/>
          <w:color w:val="auto"/>
          <w:highlight w:val="none"/>
        </w:rPr>
        <w:t xml:space="preserve">合同额的50％，第</w:t>
      </w:r>
      <w:r>
        <w:rPr>
          <w:rFonts w:hint="eastAsia" w:ascii="宋体" w:hAnsi="宋体" w:eastAsia="宋体" w:cs="宋体"/>
          <w:bCs/>
          <w:color w:val="auto"/>
          <w:highlight w:val="none"/>
          <w:lang w:val="en-US" w:eastAsia="zh-CN"/>
        </w:rPr>
        <w:t xml:space="preserve">二</w:t>
      </w:r>
      <w:r>
        <w:rPr>
          <w:rFonts w:hint="eastAsia" w:ascii="宋体" w:hAnsi="宋体" w:eastAsia="宋体" w:cs="宋体"/>
          <w:bCs/>
          <w:color w:val="auto"/>
          <w:highlight w:val="none"/>
        </w:rPr>
        <w:t xml:space="preserve">次</w:t>
      </w:r>
      <w:r>
        <w:rPr>
          <w:rFonts w:hint="eastAsia" w:ascii="宋体" w:hAnsi="宋体" w:eastAsia="宋体" w:cs="宋体"/>
          <w:bCs/>
          <w:color w:val="auto"/>
          <w:highlight w:val="none"/>
          <w:lang w:val="en-US" w:eastAsia="zh-CN"/>
        </w:rPr>
        <w:t xml:space="preserve">服务期满</w:t>
      </w:r>
      <w:r>
        <w:rPr>
          <w:rFonts w:hint="eastAsia" w:ascii="宋体" w:hAnsi="宋体" w:eastAsia="宋体" w:cs="宋体"/>
          <w:bCs/>
          <w:color w:val="auto"/>
          <w:highlight w:val="none"/>
        </w:rPr>
        <w:t xml:space="preserve">按考核结果支付</w:t>
      </w:r>
      <w:r>
        <w:rPr>
          <w:rFonts w:hint="eastAsia" w:ascii="宋体" w:hAnsi="宋体" w:eastAsia="宋体" w:cs="宋体"/>
          <w:bCs/>
          <w:color w:val="auto"/>
          <w:highlight w:val="none"/>
          <w:lang w:val="en-US" w:eastAsia="zh-CN"/>
        </w:rPr>
        <w:t xml:space="preserve">当年</w:t>
      </w:r>
      <w:r>
        <w:rPr>
          <w:rFonts w:hint="eastAsia" w:ascii="宋体" w:hAnsi="宋体" w:eastAsia="宋体" w:cs="宋体"/>
          <w:bCs/>
          <w:color w:val="auto"/>
          <w:highlight w:val="none"/>
        </w:rPr>
        <w:t xml:space="preserve">余额</w:t>
      </w:r>
      <w:r>
        <w:rPr>
          <w:rFonts w:hint="eastAsia" w:ascii="宋体" w:hAnsi="宋体" w:eastAsia="宋体" w:cs="宋体"/>
          <w:bCs/>
          <w:color w:val="auto"/>
          <w:highlight w:val="none"/>
          <w:lang w:eastAsia="zh-CN"/>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八</w:t>
      </w:r>
      <w:r>
        <w:rPr>
          <w:rFonts w:hint="eastAsia" w:ascii="宋体" w:hAnsi="宋体" w:eastAsia="宋体" w:cs="宋体"/>
          <w:bCs/>
          <w:color w:val="auto"/>
          <w:highlight w:val="none"/>
        </w:rPr>
        <w:t xml:space="preserve">、责任与义务</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（一）甲方责任与义务</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1、按照合同规定拨付养护经费；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2、协助乙方处理与各排水区块所属单位、社区关系，以便于运行维护工作的顺利进行；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3、负责对乙方运行维护质量进行月度考核和满意度测评工作；</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4、根据乙方日常巡查中发现的公共污水管网（设施）存在的问题及时组织整改。</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（二）乙方责任与义务</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1、乙方应就近设立办事处，接受市民来信来访，醒目标识单位名称、市民投诉接待人员、联系电话等，运行维护作业人员应统一着装；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2、乙方须对承担运行维护的所有巡视员进行基础知识教育，做好巡视记录，明确责任到人。日常巡查中发现公共污水管网（设施）存在问题、缺陷，应当及时上报甲方；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3、乙方应严格执行相关安全生产的规范条例，应对施工人员进行安全教育，在运行维护合同期内，不发生人身伤亡事故和安全生产事故。合同期内的安全事故及责任和经济损失均由乙方负责。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、组成合同的文件</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（一）组成本合同的文件包括</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1、本合同协议书</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2、合同相关附件</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3、本合同协议条款</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4、标准、规范及有关技术文件</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5、本项目的招标文件</w:t>
      </w:r>
      <w:r/>
    </w:p>
    <w:p>
      <w:pPr>
        <w:ind w:left="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6、本项目中标单位的投标文件</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（二）双方有关运行维护工作的洽商、变更等书面协议或文件视为本合同的组成部分。</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十</w:t>
      </w:r>
      <w:r>
        <w:rPr>
          <w:rFonts w:hint="eastAsia" w:ascii="宋体" w:hAnsi="宋体" w:eastAsia="宋体" w:cs="宋体"/>
          <w:bCs/>
          <w:color w:val="auto"/>
          <w:highlight w:val="none"/>
        </w:rPr>
        <w:t xml:space="preserve">、承包人向发包人承诺按照合同约定开展运行维护工作。</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w:t>
      </w:r>
      <w:r>
        <w:rPr>
          <w:rFonts w:hint="eastAsia" w:ascii="宋体" w:hAnsi="宋体" w:eastAsia="宋体" w:cs="宋体"/>
          <w:bCs/>
          <w:color w:val="auto"/>
          <w:highlight w:val="none"/>
          <w:lang w:val="en-US" w:eastAsia="zh-CN"/>
        </w:rPr>
        <w:t xml:space="preserve">一</w:t>
      </w:r>
      <w:r>
        <w:rPr>
          <w:rFonts w:hint="eastAsia" w:ascii="宋体" w:hAnsi="宋体" w:eastAsia="宋体" w:cs="宋体"/>
          <w:bCs/>
          <w:color w:val="auto"/>
          <w:highlight w:val="none"/>
        </w:rPr>
        <w:t xml:space="preserve">、发包人承诺按照合同约定的期限和方式支付合同价款及其他应当支付的款项。</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w:t>
      </w:r>
      <w:r>
        <w:rPr>
          <w:rFonts w:hint="eastAsia" w:ascii="宋体" w:hAnsi="宋体" w:eastAsia="宋体" w:cs="宋体"/>
          <w:bCs/>
          <w:color w:val="auto"/>
          <w:highlight w:val="none"/>
          <w:lang w:val="en-US" w:eastAsia="zh-CN"/>
        </w:rPr>
        <w:t xml:space="preserve">二</w:t>
      </w:r>
      <w:r>
        <w:rPr>
          <w:rFonts w:hint="eastAsia" w:ascii="宋体" w:hAnsi="宋体" w:eastAsia="宋体" w:cs="宋体"/>
          <w:bCs/>
          <w:color w:val="auto"/>
          <w:highlight w:val="none"/>
        </w:rPr>
        <w:t xml:space="preserve">、本合同双方约定甲乙双方签字盖章并经见证方见证后生效，至运行维护期满、验收合格、价款结清自行终止。</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                       （盖章）   成交方：               （盖章）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地址：                                    地址：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法定（授权）代表人：                      法定（授权）代表人：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项目负责人：                               项目负责人：</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年      月       日                       年      月       日</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见证方：              （盖章）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地址：</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见证人：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年      月       日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★备注：供需双方必须以本格式文本拟订合同。</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4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540" w:lineRule="exac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 xml:space="preserve">合同条款（格式）</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一、词语涵义</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 甲方代表</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甲方指派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为派驻现场代表，全面负责日常养护作业的管理工作。</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 2 乙方代表</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 乙方指派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 xml:space="preserve">为管网养护项目负责人，具体负责本养护标段作业工作，并用书面材料报甲方备案。</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 项目负责人等有关人员必须按时参加由甲方召开的养护例会和各种必须参加的会议。</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2.3 乙方如需更换项目负责人，应至少提前5天以书面形式通知甲方，并征得甲方同意。后任继续行使合同文件约定的前任的职权，履行前任的义务。</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2.4 甲方可以与乙方协商，建议更换其认为不称职的项目负责人。</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 甲方工作</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3.1 负责向乙方提供中标道路的有关资料。</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3.2 组织召开养护作业技术交底会。</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3.3 负责乙方的日常养护作业的管理和检查(全年考核方式：定期检查和抽查、第三方考核相结合)。每月底对乙方作出下月度养护工作计划布置和对当月度养护工作进行考核 ，每年对养护单位进行综合考评，考核按有关养护工作考核标准结合甲方养护工作计划要求综合进行。（具体以《城镇排水管渠及泵站维护技术规范》（CJJ68-2016）和《滨湖区公共污水管网（设施）养护作业参考标准》执行。)</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3.4  甲方定期对乙方的养护质量进行检查考核，按本合同有关条款，支付相应养护经费。</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如遇突发事件，协调乙方在作业过程中与其他管理部门的关系。</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若乙方违反《城镇排水管渠及泵站维护技术规范》（CJJ68-2016）和《滨湖区公共污水管网（设施）养护作业参考标准》、及招标文件等有关规定而被解除承包合同的，甲方根据招标文件执行。</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在合同期内，因政府需要征用、改造、临时占用市政设施等需要调整乙方管护市政地段（范围）和管护等级时，退出原养护地段（范围），或相应减少养护范围及经费。由此造成的经济损失，甲方不负赔偿责任；甲方管理需要，要求乙方就近新增管道养护面积不超过原中标道路面积2%的，不予追加相关经费，乙方按照就近纳入的招标养护标准进行养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3.8甲方对乙方</w:t>
      </w:r>
      <w:r>
        <w:rPr>
          <w:rFonts w:hint="eastAsia" w:ascii="宋体" w:hAnsi="宋体" w:eastAsia="宋体" w:cs="宋体"/>
          <w:color w:val="auto"/>
          <w:sz w:val="21"/>
          <w:szCs w:val="21"/>
          <w:highlight w:val="none"/>
        </w:rPr>
        <w:t xml:space="preserve">由于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3.9甲方应作的其他工作，双方在补充条款内约定。</w:t>
      </w:r>
      <w:r/>
    </w:p>
    <w:p>
      <w:pPr>
        <w:pStyle w:val="1042"/>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4 乙方工作</w:t>
      </w:r>
      <w:r/>
    </w:p>
    <w:p>
      <w:pPr>
        <w:pStyle w:val="1048"/>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 根据甲方养护工作计划，乙方承担日常养护内容有：排水设施（含污水泵房）、管养标识牌等市政设施保养与维修及道板杂草清除。</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 乙方应建立完善的巡查体系，严格按照管网等级结合养护规范要求频率进行巡查。同时，按标准做好巡视台帐，在每月月底前提交甲方检查。巡视不到位、频率不满足要求、资料不齐全、不准确等，按《城镇排水管渠及泵站维护技术规范》（CJJ68-2016）和《滨湖区公共污水管网（设施）养护作业参考标准》执行、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 乙方应建立巡视报告制，须按照要求购买和安装GPS设备，对污水设施的巡视频率应满足 “城镇排水管渠与泵站维护技术规程”（CJJ68-2016）的要求。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4.4 超出常规养护范围的工作，需提前报甲方审批。中标地段原设施量清单中未纳入的周围相邻市政设施，在该标段交接完毕后5日内书面提交具体位置及设施量清单，甲方核验纳入经费核算范围，未及时提出的，视作无偿义务养护。</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 及时解决来信、来访，并根据甲方要求及时处理。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4.6 按时按量完成甲方交办的110等其它突击性任务和指令性任务。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4.7 加强法定节假日的正常养护维修工作。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4.8 乙方应服从中标养护所在地的滨湖区住建局排水管理处的行业管理。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4.9 在承包期内承包人应服从发包人的安排，做好以下的服务工作：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(1)因不可抗力造成的抢修保养工作；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(2)防汛抗灾期间的汛前、汛期、汛后的各项工作,服从甲方对区管道路应急抢险的统一调配、指挥；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(3)养护相关的社会职能（如城市创建等）工作；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(4)上级布置的突击性活动而发生的各项工作；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(5)确保法定节假日的养护维修工作。</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4.10乙方应作的其他工作，双方在补充条款内约定。</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二、养护组织设计</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 进度计划</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5.1 乙方在本合同生效后15天内上报全年养护作业维修计划和该项目养护管理人员网络组成表，制定季度、月度养护计划、材料计划送交甲方。甲方在7天内予以确认。</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pStyle w:val="1042"/>
        <w:ind w:firstLine="316"/>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三、质量与考核</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 质量标准</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养护维修质量标准参照补充条款约定的质量标准。因乙方原因养护质量达不到约定的质量标准，乙方承担违约责任。</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 检查和考核</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7.1 乙方应认真按照补充条款中约定的质量标准进行养护，随时接受甲方的检查和考核，为检查和考核提供便利条件。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对于养护质量不符合要求，在日常监管和养护例会上指出的问题不能做到及时整改的，扣款1000元/次；经甲方发整改通知单后仍未在规定时间内整改到位的，扣款5000元/次；同一问题再次告知后，仍未整改的，扣款20000元/次，并由滨湖区城管局通知其他养护公司进行整改，所需费用在该标段养护经费中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污水设施（含污水泵房）：要求乙方对排水管道进行及时疏通，确保沟管畅通，检查井、收水井框盖完好吻合，检查井、收水井内的积淤不超过管径的1/5，井圈和井盖开裂、丢失应在8小时之内补装完整，并及时做好安全保护警示措施，以防发生意外事故。下水道主管道检测应每年进行一次，排水设施养护状况评定及管道影像资料每年按要求时间上交滨湖区住建局排水管理处备案（包括视频、图片资料）。养护单位在疏通排水管道和窨井清淤时，淤泥应及时运走，严禁堆放在路面上。同时对淤泥数量、堆放地点等做好台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7.4道路上其他管线井盖缺失、破损等影响行人和车辆安全的现象，乙方在巡视中要及时发现，做好安全保护警示措施，记录在案，并上报滨湖区住建局排水管理处或12345、110等处置平台。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7.5按照《无锡市控源截污排水达标区运行维护考核细则（试行）》锡政园用[2011]16号执行。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highlight w:val="none"/>
        </w:rPr>
        <w:t xml:space="preserve">经</w:t>
      </w:r>
      <w:r>
        <w:rPr>
          <w:rFonts w:hint="eastAsia" w:ascii="宋体" w:hAnsi="宋体" w:eastAsia="宋体" w:cs="宋体"/>
          <w:bCs/>
          <w:color w:val="auto"/>
          <w:highlight w:val="none"/>
          <w:lang w:val="en-US" w:eastAsia="zh-CN"/>
        </w:rPr>
        <w:t xml:space="preserve">街道</w:t>
      </w:r>
      <w:r>
        <w:rPr>
          <w:rFonts w:hint="eastAsia" w:ascii="宋体" w:hAnsi="宋体" w:eastAsia="宋体" w:cs="宋体"/>
          <w:bCs/>
          <w:color w:val="auto"/>
          <w:highlight w:val="none"/>
        </w:rPr>
        <w:t xml:space="preserve">排水管理部门考核，月考得分在90分以上（包括90分），则全额支付该月度运行维护费用。月考得分在85~90分（包括85分）则扣除当月养护经费的10%；月考得分在80~85分（包括80分）则扣除当月养护经费的20%；考核分低于80分的则扣除当月养护经费的40%，或暂缓支付养护经费，待整改到位后支付。</w:t>
      </w:r>
      <w:r>
        <w:rPr>
          <w:rFonts w:hint="eastAsia" w:ascii="宋体" w:hAnsi="宋体" w:eastAsia="宋体" w:cs="宋体"/>
          <w:color w:val="auto"/>
          <w:sz w:val="21"/>
          <w:szCs w:val="21"/>
          <w:highlight w:val="none"/>
        </w:rPr>
        <w:t xml:space="preserve">同时甲方有权无条件单方面终止该合同 (注：每月考核经费为计算年度经费</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/12，如需扣除养护经费，在每个支付期支付时扣除相应的经费)。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四、安全文明施工</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自签订合同之日起，乙方全面负责其在养护作业区内的安全文明施工责任。</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 安全文明施工与检查</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8.1 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8.2 由于乙方管理不善，引起政府职能部门处罚和停工整改，或安全措施不力造成事故的责任和因此发生的费用，由乙方承担。</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9 安全防护</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养护单位应配备足够的安全文明防护设施，养护作业人员必须着装上岗操作，施工期间按规定做好安全标识。排水井井下作业采取二级审批制度，防范措施到位，相关人员具有培训合格的操作证，擅自或违规下井作业的养护单位承担一切后果。</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10 事故处理</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发生重大伤亡及其他安全事故，乙方应按有关规定立即上报有关部门并通知甲方代表，同时按政府有关部门要求处理由事故责任方承担发生的费用。</w:t>
      </w:r>
      <w:r/>
    </w:p>
    <w:p>
      <w:pPr>
        <w:pStyle w:val="1042"/>
        <w:ind w:firstLine="316"/>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五、合同价款与支付</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11合同价款</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11.1 合同价款由甲、乙双方依据中标通知书中的中标价格在协议书内约定。</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11.2 乙方应向甲方提交月度养护作业统计报表。甲方可以按报表内容进行计量与考核，考核结果作为合同价款支付的依据。</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11.3 如实际养护作业量与设施量清单有出入时，乙方按照</w:t>
      </w:r>
      <w:r>
        <w:rPr>
          <w:rFonts w:hint="eastAsia" w:ascii="宋体" w:hAnsi="宋体" w:eastAsia="宋体" w:cs="宋体"/>
          <w:b/>
          <w:color w:val="auto"/>
          <w:sz w:val="21"/>
          <w:szCs w:val="21"/>
          <w:highlight w:val="none"/>
        </w:rPr>
        <w:t xml:space="preserve">补充条款</w:t>
      </w:r>
      <w:r>
        <w:rPr>
          <w:rFonts w:hint="eastAsia" w:ascii="宋体" w:hAnsi="宋体" w:eastAsia="宋体" w:cs="宋体"/>
          <w:color w:val="auto"/>
          <w:sz w:val="21"/>
          <w:szCs w:val="21"/>
          <w:highlight w:val="none"/>
        </w:rPr>
        <w:t xml:space="preserve">约定的时间上报计划变更单，经甲方审核并报有关部门审定后方可在下月养护计划中调整。</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11.4 对乙方超出养护范围和因乙方原因造成返工的工作量，甲方不予计量。</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合同价款支付</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12.1付款方式：按财政拨付计划结算养护经费。</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w:t>
      </w:r>
      <w:r>
        <w:rPr>
          <w:rFonts w:hint="eastAsia" w:ascii="宋体" w:hAnsi="宋体" w:eastAsia="宋体" w:cs="宋体"/>
          <w:bCs/>
          <w:color w:val="auto"/>
          <w:highlight w:val="none"/>
          <w:lang w:val="en-US" w:eastAsia="zh-CN"/>
        </w:rPr>
        <w:t xml:space="preserve">款项按年支付，</w:t>
      </w:r>
      <w:r>
        <w:rPr>
          <w:rFonts w:hint="eastAsia" w:ascii="宋体" w:hAnsi="宋体" w:eastAsia="宋体" w:cs="宋体"/>
          <w:bCs/>
          <w:color w:val="auto"/>
          <w:highlight w:val="none"/>
        </w:rPr>
        <w:t xml:space="preserve">一年支付</w:t>
      </w:r>
      <w:r>
        <w:rPr>
          <w:rFonts w:hint="eastAsia" w:ascii="宋体" w:hAnsi="宋体" w:eastAsia="宋体" w:cs="宋体"/>
          <w:bCs/>
          <w:color w:val="auto"/>
          <w:highlight w:val="none"/>
          <w:lang w:val="en-US" w:eastAsia="zh-CN"/>
        </w:rPr>
        <w:t xml:space="preserve">两次</w:t>
      </w:r>
      <w:r>
        <w:rPr>
          <w:rFonts w:hint="eastAsia" w:ascii="宋体" w:hAnsi="宋体" w:eastAsia="宋体" w:cs="宋体"/>
          <w:bCs/>
          <w:color w:val="auto"/>
          <w:highlight w:val="none"/>
        </w:rPr>
        <w:t xml:space="preserve">，具体为：第一次</w:t>
      </w:r>
      <w:r>
        <w:rPr>
          <w:rFonts w:hint="eastAsia" w:ascii="宋体" w:hAnsi="宋体" w:eastAsia="宋体" w:cs="宋体"/>
          <w:bCs/>
          <w:color w:val="auto"/>
          <w:highlight w:val="none"/>
          <w:lang w:val="en-US" w:eastAsia="zh-CN"/>
        </w:rPr>
        <w:t xml:space="preserve">半年度服务期满</w:t>
      </w:r>
      <w:r>
        <w:rPr>
          <w:rFonts w:hint="eastAsia" w:ascii="宋体" w:hAnsi="宋体" w:eastAsia="宋体" w:cs="宋体"/>
          <w:bCs/>
          <w:color w:val="auto"/>
          <w:highlight w:val="none"/>
        </w:rPr>
        <w:t xml:space="preserve">支付至</w:t>
      </w:r>
      <w:r>
        <w:rPr>
          <w:rFonts w:hint="eastAsia" w:ascii="宋体" w:hAnsi="宋体" w:eastAsia="宋体" w:cs="宋体"/>
          <w:bCs/>
          <w:color w:val="auto"/>
          <w:highlight w:val="none"/>
          <w:lang w:val="en-US" w:eastAsia="zh-CN"/>
        </w:rPr>
        <w:t xml:space="preserve">当年</w:t>
      </w:r>
      <w:r>
        <w:rPr>
          <w:rFonts w:hint="eastAsia" w:ascii="宋体" w:hAnsi="宋体" w:eastAsia="宋体" w:cs="宋体"/>
          <w:bCs/>
          <w:color w:val="auto"/>
          <w:highlight w:val="none"/>
        </w:rPr>
        <w:t xml:space="preserve">合同额的50％，第</w:t>
      </w:r>
      <w:r>
        <w:rPr>
          <w:rFonts w:hint="eastAsia" w:ascii="宋体" w:hAnsi="宋体" w:eastAsia="宋体" w:cs="宋体"/>
          <w:bCs/>
          <w:color w:val="auto"/>
          <w:highlight w:val="none"/>
          <w:lang w:val="en-US" w:eastAsia="zh-CN"/>
        </w:rPr>
        <w:t xml:space="preserve">二</w:t>
      </w:r>
      <w:r>
        <w:rPr>
          <w:rFonts w:hint="eastAsia" w:ascii="宋体" w:hAnsi="宋体" w:eastAsia="宋体" w:cs="宋体"/>
          <w:bCs/>
          <w:color w:val="auto"/>
          <w:highlight w:val="none"/>
        </w:rPr>
        <w:t xml:space="preserve">次</w:t>
      </w:r>
      <w:r>
        <w:rPr>
          <w:rFonts w:hint="eastAsia" w:ascii="宋体" w:hAnsi="宋体" w:eastAsia="宋体" w:cs="宋体"/>
          <w:bCs/>
          <w:color w:val="auto"/>
          <w:highlight w:val="none"/>
          <w:lang w:val="en-US" w:eastAsia="zh-CN"/>
        </w:rPr>
        <w:t xml:space="preserve">服务期满</w:t>
      </w:r>
      <w:r>
        <w:rPr>
          <w:rFonts w:hint="eastAsia" w:ascii="宋体" w:hAnsi="宋体" w:eastAsia="宋体" w:cs="宋体"/>
          <w:bCs/>
          <w:color w:val="auto"/>
          <w:highlight w:val="none"/>
        </w:rPr>
        <w:t xml:space="preserve">按考核结果支付</w:t>
      </w:r>
      <w:r>
        <w:rPr>
          <w:rFonts w:hint="eastAsia" w:ascii="宋体" w:hAnsi="宋体" w:eastAsia="宋体" w:cs="宋体"/>
          <w:bCs/>
          <w:color w:val="auto"/>
          <w:highlight w:val="none"/>
          <w:lang w:val="en-US" w:eastAsia="zh-CN"/>
        </w:rPr>
        <w:t xml:space="preserve">当年</w:t>
      </w:r>
      <w:r>
        <w:rPr>
          <w:rFonts w:hint="eastAsia" w:ascii="宋体" w:hAnsi="宋体" w:eastAsia="宋体" w:cs="宋体"/>
          <w:bCs/>
          <w:color w:val="auto"/>
          <w:highlight w:val="none"/>
        </w:rPr>
        <w:t xml:space="preserve">余额</w:t>
      </w:r>
      <w:r>
        <w:rPr>
          <w:rFonts w:hint="eastAsia" w:ascii="宋体" w:hAnsi="宋体" w:eastAsia="宋体" w:cs="宋体"/>
          <w:bCs/>
          <w:color w:val="auto"/>
          <w:highlight w:val="none"/>
          <w:lang w:eastAsia="zh-CN"/>
        </w:rPr>
        <w:t xml:space="preserve">。</w:t>
      </w:r>
      <w:r/>
    </w:p>
    <w:p>
      <w:pPr>
        <w:pStyle w:val="1042"/>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六、违约和争议</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违约</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因甲方原因导致乙方不能按合同约定履行义务的，相应顺延工期。</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13.2甲方未按合同约定支付养护费的，甲方应按每日万分之二支付违约金。</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13.3 乙方不能达到所承诺的养护质量和有关技术规范标准，乙方按协议条款支付违约金，赔偿因违约给甲方造成的损失。</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13.4 因一方违约使合同不能履行，另一方欲终止或解除全部合同，应提前10天通知违约方后，方可终止或解除合同，由违约方承担违约责任。</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 争议</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 甲乙双方因合同发生争议，可由甲乙双方协商、调解、或向甲方所在地的人民法院起诉解决。</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14.2发生争议后，除出现以下情况的，双方都应继续履行合同，保持养护连续性：</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 合同确已无法履行；</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双方协议停止养护作业；</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 仲裁机关要求停止养护作业；</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法院要求停止养护作业。</w:t>
      </w:r>
      <w:r/>
    </w:p>
    <w:p>
      <w:pPr>
        <w:pStyle w:val="1042"/>
        <w:ind w:firstLine="48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七、合同终止</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15.1 承包范围内的养护管理项目，乙方不得采取任何形式实施分包和转包，凡违反此规定的，甲方将立即取消乙方的承包资格，终止养护承包合同的履行，由此产生的一切法律责任和经济损失由乙方承担；</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乙方在本合同订立之日起三个月内，作为试用期；经甲方考核，达不到质量和技术标准的，甲方有权终止合同。因试用不合格，试用期内养护费按合同价的月平均价50％付给。</w:t>
      </w:r>
      <w:r/>
    </w:p>
    <w:p>
      <w:pPr>
        <w:pStyle w:val="10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15.3乙方中标后一年内不履行投标承诺，未响应招标文件要求，购置管道养护设备、清淤设备、防汛应急设备等市政专用设备，甲方有权终止该合同。</w:t>
      </w:r>
      <w:r/>
    </w:p>
    <w:p>
      <w:pPr>
        <w:pStyle w:val="1042"/>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八、其他</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 在本合同执行过程中如遇和国家政策、地方法规的有关规定不符时，按有关政策法规执行。</w:t>
      </w:r>
      <w:r/>
    </w:p>
    <w:p>
      <w:pPr>
        <w:pStyle w:val="104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16.2 如遇自然灾害和不可抗力造成损失的，经双方协商解决。</w:t>
      </w:r>
      <w:r/>
    </w:p>
    <w:p>
      <w:pPr>
        <w:pStyle w:val="1042"/>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本合同如有未尽事宜，双方可通过协商补充协议解决。</w:t>
      </w:r>
      <w:r/>
    </w:p>
    <w:p>
      <w:pPr>
        <w:pStyle w:val="1042"/>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九、合同生效与终止</w:t>
      </w:r>
      <w:r/>
    </w:p>
    <w:p>
      <w:pPr>
        <w:pStyle w:val="104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双方在合同协议书中约定合同生效方式。双方履行合同全部义务，合同价款支付完毕后，本合同即告终止。</w:t>
      </w:r>
      <w:r/>
    </w:p>
    <w:p>
      <w:pPr>
        <w:pStyle w:val="1042"/>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十、合同份数</w:t>
      </w:r>
      <w:r/>
    </w:p>
    <w:p>
      <w:pPr>
        <w:ind w:left="720" w:hanging="720"/>
        <w:jc w:val="center"/>
        <w:keepNext/>
        <w:spacing w:before="120" w:after="120" w:line="460" w:lineRule="exact"/>
        <w:widowControl/>
        <w:tabs>
          <w:tab w:val="left" w:pos="720" w:leader="none"/>
        </w:tabs>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本合同一式七份，并具同等法律效力。由甲方保存四份、乙方保存两份，见证方一份。</w:t>
      </w:r>
      <w:r/>
    </w:p>
    <w:p>
      <w:pPr>
        <w:pStyle w:val="1444"/>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444"/>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ascii="宋体" w:hAnsi="宋体" w:eastAsia="宋体" w:cs="宋体"/>
          <w:b/>
          <w:bCs/>
          <w:color w:val="auto"/>
          <w:sz w:val="48"/>
          <w:szCs w:val="48"/>
          <w:highlight w:val="none"/>
        </w:rPr>
        <w:sectPr>
          <w:footerReference w:type="default" r:id="rId17"/>
          <w:footerReference w:type="first" r:id="rId18"/>
          <w:footnotePr/>
          <w:endnotePr/>
          <w:type w:val="nextPage"/>
          <w:pgSz w:w="11906" w:h="16838" w:orient="portrait"/>
          <w:pgMar w:top="850" w:right="851" w:bottom="850" w:left="850" w:header="624" w:footer="907" w:gutter="0"/>
          <w:cols w:num="1" w:sep="0" w:space="0" w:equalWidth="1"/>
          <w:docGrid w:linePitch="360"/>
          <w:titlePg/>
        </w:sect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第</w:t>
      </w:r>
      <w:bookmarkEnd w:id="140"/>
      <w:r>
        <w:rPr>
          <w:rFonts w:hint="eastAsia" w:ascii="宋体" w:hAnsi="宋体" w:eastAsia="宋体" w:cs="宋体"/>
          <w:b/>
          <w:bCs/>
          <w:color w:val="auto"/>
          <w:sz w:val="48"/>
          <w:szCs w:val="48"/>
          <w:highlight w:val="none"/>
        </w:rPr>
        <w:t xml:space="preserve">四章 采购需求</w:t>
      </w:r>
      <w:bookmarkEnd w:id="141"/>
      <w:r/>
      <w:bookmarkEnd w:id="142"/>
      <w:r/>
      <w:bookmarkEnd w:id="143"/>
      <w:r/>
      <w:r/>
    </w:p>
    <w:p>
      <w:pPr>
        <w:spacing w:line="360" w:lineRule="auto"/>
        <w:rPr>
          <w:rFonts w:ascii="宋体" w:hAnsi="宋体"/>
          <w:b/>
          <w:color w:val="auto"/>
          <w:sz w:val="24"/>
          <w:highlight w:val="none"/>
        </w:rPr>
      </w:pPr>
      <w:r/>
      <w:bookmarkStart w:id="144" w:name="_Toc26554093"/>
      <w:r/>
      <w:bookmarkStart w:id="145" w:name="_Toc120614281"/>
      <w:r/>
      <w:bookmarkStart w:id="146" w:name="_Toc49090575"/>
      <w:r>
        <w:rPr>
          <w:rFonts w:hint="eastAsia" w:ascii="宋体" w:hAnsi="宋体"/>
          <w:b/>
          <w:color w:val="auto"/>
          <w:sz w:val="24"/>
          <w:highlight w:val="none"/>
        </w:rPr>
        <w:t xml:space="preserve">一、项目名称: 荣巷街道2026-2028年度雨污水管网运行维护作业权项目</w:t>
      </w:r>
      <w:r/>
    </w:p>
    <w:p>
      <w:pPr>
        <w:spacing w:line="360" w:lineRule="auto"/>
        <w:rPr>
          <w:rFonts w:ascii="宋体" w:hAnsi="宋体"/>
          <w:b/>
          <w:color w:val="auto"/>
          <w:sz w:val="24"/>
          <w:highlight w:val="none"/>
        </w:rPr>
      </w:pPr>
      <w:r/>
      <w:bookmarkStart w:id="147" w:name="OLE_LINK1"/>
      <w:r>
        <w:rPr>
          <w:rFonts w:hint="eastAsia" w:ascii="宋体" w:hAnsi="宋体"/>
          <w:b/>
          <w:color w:val="auto"/>
          <w:sz w:val="24"/>
          <w:highlight w:val="none"/>
        </w:rPr>
        <w:t xml:space="preserve">二、具体内容：</w:t>
      </w:r>
      <w:r/>
    </w:p>
    <w:p>
      <w:pPr>
        <w:pStyle w:val="1056"/>
        <w:ind w:firstLine="231"/>
        <w:jc w:val="left"/>
        <w:spacing w:line="360" w:lineRule="auto"/>
        <w:tabs>
          <w:tab w:val="left" w:pos="0" w:leader="none"/>
          <w:tab w:val="left" w:pos="1134"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（一）、养护实施的范围和期限</w:t>
      </w:r>
      <w:r/>
    </w:p>
    <w:p>
      <w:pPr>
        <w:pStyle w:val="1056"/>
        <w:ind w:left="0" w:firstLine="481"/>
        <w:jc w:val="left"/>
        <w:spacing w:line="360" w:lineRule="auto"/>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1、养护范围</w:t>
      </w:r>
      <w:r/>
    </w:p>
    <w:tbl>
      <w:tblPr>
        <w:tblStyle w:val="10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267"/>
        <w:gridCol w:w="978"/>
      </w:tblGrid>
      <w:tr>
        <w:trPr/>
        <w:tc>
          <w:tcPr>
            <w:tcW w:w="816" w:type="dxa"/>
            <w:vAlign w:val="center"/>
            <w:textDirection w:val="lrTb"/>
            <w:noWrap w:val="false"/>
          </w:tcPr>
          <w:p>
            <w:pPr>
              <w:pStyle w:val="1056"/>
              <w:ind w:left="0"/>
              <w:jc w:val="center"/>
              <w:spacing w:line="360" w:lineRule="auto"/>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区域</w:t>
            </w:r>
            <w:r/>
          </w:p>
        </w:tc>
        <w:tc>
          <w:tcPr>
            <w:tcW w:w="7267" w:type="dxa"/>
            <w:vAlign w:val="center"/>
            <w:textDirection w:val="lrTb"/>
            <w:noWrap w:val="false"/>
          </w:tcPr>
          <w:p>
            <w:pPr>
              <w:pStyle w:val="1056"/>
              <w:ind w:left="0"/>
              <w:jc w:val="center"/>
              <w:spacing w:line="360" w:lineRule="auto"/>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排水区块</w:t>
            </w:r>
            <w:r/>
          </w:p>
        </w:tc>
        <w:tc>
          <w:tcPr>
            <w:tcW w:w="978" w:type="dxa"/>
            <w:vAlign w:val="center"/>
            <w:textDirection w:val="lrTb"/>
            <w:noWrap w:val="false"/>
          </w:tcPr>
          <w:p>
            <w:pPr>
              <w:pStyle w:val="1056"/>
              <w:ind w:left="0"/>
              <w:jc w:val="center"/>
              <w:spacing w:line="360" w:lineRule="auto"/>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备注</w:t>
            </w:r>
            <w:r/>
          </w:p>
        </w:tc>
      </w:tr>
      <w:tr>
        <w:trPr>
          <w:trHeight w:val="5992"/>
        </w:trPr>
        <w:tc>
          <w:tcPr>
            <w:tcW w:w="816" w:type="dxa"/>
            <w:vAlign w:val="center"/>
            <w:textDirection w:val="lrTb"/>
            <w:noWrap w:val="false"/>
          </w:tcPr>
          <w:p>
            <w:pPr>
              <w:pStyle w:val="1056"/>
              <w:ind w:left="0"/>
              <w:jc w:val="center"/>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荣巷街道</w:t>
            </w:r>
            <w:r/>
          </w:p>
        </w:tc>
        <w:tc>
          <w:tcPr>
            <w:tcW w:w="7267" w:type="dxa"/>
            <w:vAlign w:val="center"/>
            <w:textDirection w:val="lrTb"/>
            <w:noWrap w:val="false"/>
          </w:tcPr>
          <w:p>
            <w:pPr>
              <w:pStyle w:val="1056"/>
              <w:ind w:left="0"/>
              <w:tabs>
                <w:tab w:val="left" w:pos="0" w:leader="none"/>
                <w:tab w:val="left" w:pos="1134" w:leader="none"/>
              </w:tabs>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RX-04陆丼新村</w:t>
            </w:r>
            <w:r>
              <w:rPr>
                <w:rFonts w:hint="eastAsia" w:ascii="宋体" w:hAnsi="宋体" w:eastAsia="宋体"/>
                <w:b w:val="0"/>
                <w:bCs/>
                <w:color w:val="auto"/>
                <w:sz w:val="24"/>
                <w:szCs w:val="24"/>
                <w:highlight w:val="none"/>
              </w:rPr>
              <w:t xml:space="preserve">、RX-04云景佳园、RX-07大渲自然村、RX-08杨巷新村、RX-08大渲北苑、RX-09大渲南苑、RX-09大渲新村、RX-10太湖名邸、RX-10香雪苑、RX-10香雪苑北侧商铺、RX-10逸泉苑、RX-11太康新村、RX-12太康新村、RX-1</w:t>
            </w:r>
            <w:r>
              <w:rPr>
                <w:rFonts w:hint="eastAsia" w:ascii="宋体" w:hAnsi="宋体" w:eastAsia="宋体"/>
                <w:b w:val="0"/>
                <w:bCs/>
                <w:color w:val="auto"/>
                <w:sz w:val="24"/>
                <w:szCs w:val="24"/>
                <w:highlight w:val="none"/>
              </w:rPr>
              <w:t xml:space="preserve">3梁清路小区和大丁263-267、RX-13大丁佳苑、RX-13大丁路两侧商铺、RX-16桃源居、RX-16桃源居周边商铺、RX-17蓓蕾新村、RX-18孙巷、中荣、东浜和西浜、RX-18大张巷和张巷新村、RX-21梁湖南苑、RX-21梁湖南苑周边商铺、RX-22上里东小区、RX-25嶂山碧院、RX-26桃园新村、RX-27梁溪路100号（江大二村）、RX-28桃源人家、RX-31郁巷新村、RX-32江大新村、RX-35荣巷新村、许巷新村和上荣、RX-35荣巷街道办事处、RX-36鑫龙佳苑、RX-37梁湖家</w:t>
            </w:r>
            <w:r>
              <w:rPr>
                <w:rFonts w:hint="eastAsia" w:ascii="宋体" w:hAnsi="宋体" w:eastAsia="宋体"/>
                <w:b w:val="0"/>
                <w:bCs/>
                <w:color w:val="auto"/>
                <w:sz w:val="24"/>
                <w:szCs w:val="24"/>
                <w:highlight w:val="none"/>
              </w:rPr>
              <w:t xml:space="preserve">园东区、RX-38公益新村、RX-40梁湖家园西区、RX-41东横山新村、RX-45上里东新村、RX-46贾湾、梁巷和曹巷、RX-47龚巷、RX-55青龙山新村、RX-55青龙山自然村、RX-59徐巷老街（西）、RX-60梅园徐巷东、RX-63煤炭家舍、RX-70申梅苑、RX-69朱巷自然村、RX-69勤新苑、RX-69勤新南苑、RX-69陈漕湾和118家舍、RX-70青山莫巷、梅茶路、梅茶一路、青龙山支路、青龙山二支路、查青路、军民路、香雪路、望惠路、惠益路、龙山路、丹桂路、山语路、钱巷路、大丁路、太康路</w:t>
            </w:r>
            <w:r/>
          </w:p>
        </w:tc>
        <w:tc>
          <w:tcPr>
            <w:tcW w:w="978" w:type="dxa"/>
            <w:textDirection w:val="lrTb"/>
            <w:noWrap w:val="false"/>
          </w:tcPr>
          <w:p>
            <w:pPr>
              <w:pStyle w:val="1056"/>
              <w:jc w:val="left"/>
              <w:spacing w:line="360" w:lineRule="auto"/>
              <w:tabs>
                <w:tab w:val="left" w:pos="0" w:leader="none"/>
                <w:tab w:val="left" w:pos="1134" w:leader="none"/>
              </w:tabs>
              <w:rPr>
                <w:rFonts w:ascii="宋体" w:hAnsi="宋体" w:eastAsia="宋体"/>
                <w:b w:val="0"/>
                <w:bCs/>
                <w:color w:val="auto"/>
                <w:sz w:val="24"/>
                <w:szCs w:val="24"/>
                <w:highlight w:val="none"/>
              </w:rPr>
            </w:pPr>
            <w:r>
              <w:rPr>
                <w:rFonts w:ascii="宋体" w:hAnsi="宋体" w:eastAsia="宋体"/>
                <w:b w:val="0"/>
                <w:bCs/>
                <w:color w:val="auto"/>
                <w:sz w:val="24"/>
                <w:szCs w:val="24"/>
                <w:highlight w:val="none"/>
              </w:rPr>
            </w:r>
            <w:r/>
          </w:p>
        </w:tc>
      </w:tr>
    </w:tbl>
    <w:p>
      <w:pPr>
        <w:pStyle w:val="1056"/>
        <w:ind w:left="0"/>
        <w:jc w:val="left"/>
        <w:spacing w:line="360" w:lineRule="auto"/>
        <w:tabs>
          <w:tab w:val="left" w:pos="0" w:leader="none"/>
          <w:tab w:val="left" w:pos="1134" w:leader="none"/>
        </w:tabs>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    2、本项目养护期限：三年</w:t>
      </w:r>
      <w:r/>
    </w:p>
    <w:p>
      <w:pPr>
        <w:pStyle w:val="1056"/>
        <w:ind w:firstLine="231"/>
        <w:jc w:val="left"/>
        <w:spacing w:line="360" w:lineRule="auto"/>
        <w:tabs>
          <w:tab w:val="left" w:pos="0" w:leader="none"/>
          <w:tab w:val="left" w:pos="1134"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（二）、养护的质量标准和要求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1、质量验收标准：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A、依据《城镇排水管渠及泵站维护技术规范》（</w:t>
      </w:r>
      <w:r>
        <w:rPr>
          <w:rFonts w:ascii="宋体" w:hAnsi="宋体"/>
          <w:color w:val="auto"/>
          <w:sz w:val="24"/>
          <w:highlight w:val="none"/>
        </w:rPr>
        <w:t xml:space="preserve">CJJ68-20</w:t>
      </w:r>
      <w:r>
        <w:rPr>
          <w:rFonts w:hint="eastAsia" w:ascii="宋体" w:hAnsi="宋体"/>
          <w:color w:val="auto"/>
          <w:sz w:val="24"/>
          <w:highlight w:val="none"/>
        </w:rPr>
        <w:t xml:space="preserve">16）和《滨湖区公共污水管网（设施）养护作业参考标准》执行。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B、排水设施进行巡查，每个月不少于一次，汛期要按要求增加巡视次数，确保沟管畅通，检查井井框盖完好吻合，井内的积淤符合要求，井圈和井盖开裂、丢失应在</w:t>
      </w:r>
      <w:r>
        <w:rPr>
          <w:rFonts w:ascii="宋体" w:hAnsi="宋体"/>
          <w:color w:val="auto"/>
          <w:sz w:val="24"/>
          <w:highlight w:val="none"/>
        </w:rPr>
        <w:t xml:space="preserve">24</w:t>
      </w:r>
      <w:r>
        <w:rPr>
          <w:rFonts w:hint="eastAsia" w:ascii="宋体" w:hAnsi="宋体"/>
          <w:color w:val="auto"/>
          <w:sz w:val="24"/>
          <w:highlight w:val="none"/>
        </w:rPr>
        <w:t xml:space="preserve">小时之内补装完整，并做好安全保护警示措施，以防发生意外事故。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C、在对排水设施进行维修时，应按《无锡市建设工程文明施工管理办法》（市人民政府令第</w:t>
      </w:r>
      <w:r>
        <w:rPr>
          <w:rFonts w:ascii="宋体" w:hAnsi="宋体"/>
          <w:color w:val="auto"/>
          <w:sz w:val="24"/>
          <w:highlight w:val="none"/>
        </w:rPr>
        <w:t xml:space="preserve">120</w:t>
      </w:r>
      <w:r>
        <w:rPr>
          <w:rFonts w:hint="eastAsia" w:ascii="宋体" w:hAnsi="宋体"/>
          <w:color w:val="auto"/>
          <w:sz w:val="24"/>
          <w:highlight w:val="none"/>
        </w:rPr>
        <w:t xml:space="preserve">号）和《无锡市建设工程安全生产管理条例》的要求实施，同时交通围护也应符合有关规范和规定的要求。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2、按财政拨付计划结算养护经费。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3、考核方法和内容：考核分月度考核、季度考核、年度考核。考核表详见《无锡市排水达标区运行维护考核细则》（试行）（锡政园用【2011】16号文）。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各排水管理机构按月考得分向运行维护单位支付运行维护经费。月考得分在90分以上（包括90分），则全额支付该月度运行维护费用。月考得分在85~90分（包括85分）则扣除当月养护经费的10%；月考得分在80~85分（包括80分）则扣除当月养护经费的20%；考核分低于80分的则扣除当月养护经费的40%，或暂缓支付养护经费，待整改到位后支付。同时甲方有权无条件单方面终止该合同。(注：每月考核经费为计算年度经费/12，如需扣除养护经费，在每个支付期支付时扣除相应的经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中标单位应建立有效的运行维护信息，按养护规范要求频率进行巡查。同时，每年对排水设施运行维护信息进行汇总。制作运行维护信息年报表。分别于每年12月底前报无锡排水管理处，并配合无锡排水管理处做好信息更新工作。巡视不到位、频率不满足要求、资料不齐全、不准确等，按《无锡市滨湖区区管市政设施养护管理考核办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5、中标单位必须严格按照《城镇排水管渠与泵站维护技术规程》（CJJ68-2016）、泵站的运行、维护应符合国</w:t>
      </w:r>
      <w:r>
        <w:rPr>
          <w:rFonts w:hint="eastAsia" w:ascii="宋体" w:hAnsi="宋体"/>
          <w:color w:val="auto"/>
          <w:sz w:val="24"/>
          <w:highlight w:val="none"/>
        </w:rPr>
        <w:t xml:space="preserve">家现行《恶臭污染物排放标准》（GB14554）和《城市区域环境噪声标准》（GB3096）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交纳，按《无锡市滨湖区区管市政设施养护管理考核办法》处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6、养护质量考核要求：中标单位严格按照A、依据《城镇排水管渠及泵站维护技术规范》（</w:t>
      </w:r>
      <w:r>
        <w:rPr>
          <w:rFonts w:ascii="宋体" w:hAnsi="宋体"/>
          <w:color w:val="auto"/>
          <w:sz w:val="24"/>
          <w:highlight w:val="none"/>
        </w:rPr>
        <w:t xml:space="preserve">CJJ68-20</w:t>
      </w:r>
      <w:r>
        <w:rPr>
          <w:rFonts w:hint="eastAsia" w:ascii="宋体" w:hAnsi="宋体"/>
          <w:color w:val="auto"/>
          <w:sz w:val="24"/>
          <w:highlight w:val="none"/>
        </w:rPr>
        <w:t xml:space="preserve">16）和《滨湖区公共污水管网（设施）养护作业参考标准》执行。</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B、排水设施进行巡查，每个月不少于一次，汛期要按要求增加巡视次数，确保沟管畅通，检查井井框盖完好吻合，井内的积淤符合要求，井圈和井盖开裂、丢失应在</w:t>
      </w:r>
      <w:r>
        <w:rPr>
          <w:rFonts w:ascii="宋体" w:hAnsi="宋体"/>
          <w:color w:val="auto"/>
          <w:sz w:val="24"/>
          <w:highlight w:val="none"/>
        </w:rPr>
        <w:t xml:space="preserve">24</w:t>
      </w:r>
      <w:r>
        <w:rPr>
          <w:rFonts w:hint="eastAsia" w:ascii="宋体" w:hAnsi="宋体"/>
          <w:color w:val="auto"/>
          <w:sz w:val="24"/>
          <w:highlight w:val="none"/>
        </w:rPr>
        <w:t xml:space="preserve">小时之内补装完整，并做好安全保护警示措施，以防发生意外事故。</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C、在对排水设施进行维修时，应按《无锡市建设工程文明施工管理办法》（市人民政府令第</w:t>
      </w:r>
      <w:r>
        <w:rPr>
          <w:rFonts w:ascii="宋体" w:hAnsi="宋体"/>
          <w:color w:val="auto"/>
          <w:sz w:val="24"/>
          <w:highlight w:val="none"/>
        </w:rPr>
        <w:t xml:space="preserve">120</w:t>
      </w:r>
      <w:r>
        <w:rPr>
          <w:rFonts w:hint="eastAsia" w:ascii="宋体" w:hAnsi="宋体"/>
          <w:color w:val="auto"/>
          <w:sz w:val="24"/>
          <w:highlight w:val="none"/>
        </w:rPr>
        <w:t xml:space="preserve">号）和《无锡市建设工程安全生产管理条例》的要求实施，同时交通围护也应符合有关规范和规定的要求。</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达到养护质量验收要求的，按时支付养护经费，未达到养护质量验收要求的，重新返工，费用由中标单位承担。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8、中标单价不含大中修费用，在养护作业合同期限内不作调整。</w:t>
      </w:r>
      <w:r/>
    </w:p>
    <w:p>
      <w:pPr>
        <w:ind w:firstLine="361"/>
        <w:spacing w:line="360" w:lineRule="auto"/>
        <w:rPr>
          <w:rFonts w:ascii="宋体" w:hAnsi="宋体"/>
          <w:b/>
          <w:bCs/>
          <w:color w:val="auto"/>
          <w:sz w:val="24"/>
          <w:highlight w:val="none"/>
        </w:rPr>
      </w:pPr>
      <w:r>
        <w:rPr>
          <w:rFonts w:hint="eastAsia" w:ascii="宋体" w:hAnsi="宋体"/>
          <w:b/>
          <w:bCs/>
          <w:color w:val="auto"/>
          <w:sz w:val="24"/>
          <w:highlight w:val="none"/>
        </w:rPr>
        <w:t xml:space="preserve">（三）、管道及其附属设施的检查与养护要求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管道及其附属设施的检查与养护要求：要求中标单位应定期对污水管道及其附属设施进行检查、维护，确保污水管道始终保持良好的通水功能和结构状态。巡查内容主要包括污水冒溢、井盖缺损、管道塌陷、违章占压、违章排放、私自接管、雨污混接以及影响管道排水的工程施工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2.养护单位应在事故发生或接到报障、保修、投诉后2小时到达现场，组织调查、抢修。重大事故应在12小时内向滨湖区排水主管部门报告。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3.养护方式可采用机械作业与人工作业相结合，具体应根据管径、管材、施工工艺等不同区别对待。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4.养护单位应严格按照下表规定对检查井、排放口、管道、倒虹管等进行检查，并建立相应的检查记录以备核查。</w:t>
      </w:r>
      <w:r/>
    </w:p>
    <w:p>
      <w:pPr>
        <w:ind w:firstLine="480"/>
        <w:jc w:val="center"/>
        <w:spacing w:line="520" w:lineRule="exact"/>
        <w:rPr>
          <w:rFonts w:ascii="宋体" w:hAnsi="宋体"/>
          <w:color w:val="auto"/>
          <w:sz w:val="24"/>
          <w:highlight w:val="none"/>
        </w:rPr>
      </w:pPr>
      <w:r>
        <w:rPr>
          <w:rFonts w:hint="eastAsia" w:ascii="宋体" w:hAnsi="宋体"/>
          <w:color w:val="auto"/>
          <w:sz w:val="24"/>
          <w:highlight w:val="none"/>
        </w:rPr>
        <w:t xml:space="preserve">管道及附属设施的检查要求表</w:t>
      </w:r>
      <w:r/>
    </w:p>
    <w:tbl>
      <w:tblPr>
        <w:tblStyle w:val="1040"/>
        <w:tblW w:w="93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1406"/>
        <w:gridCol w:w="5040"/>
        <w:gridCol w:w="1061"/>
      </w:tblGrid>
      <w:tr>
        <w:trPr>
          <w:trHeight w:val="1028"/>
        </w:trPr>
        <w:tc>
          <w:tcPr>
            <w:tcW w:w="187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设施种类</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检查方法</w:t>
            </w:r>
            <w:r/>
          </w:p>
        </w:tc>
        <w:tc>
          <w:tcPr>
            <w:tcW w:w="5040" w:type="dxa"/>
            <w:vAlign w:val="center"/>
            <w:textDirection w:val="lrTb"/>
            <w:noWrap w:val="false"/>
          </w:tcPr>
          <w:p>
            <w:pPr>
              <w:ind w:left="71"/>
              <w:jc w:val="center"/>
              <w:spacing w:line="520" w:lineRule="exact"/>
              <w:rPr>
                <w:rFonts w:ascii="宋体" w:hAnsi="宋体"/>
                <w:color w:val="auto"/>
                <w:sz w:val="24"/>
                <w:highlight w:val="none"/>
              </w:rPr>
            </w:pPr>
            <w:r>
              <w:rPr>
                <w:rFonts w:hint="eastAsia" w:ascii="宋体" w:hAnsi="宋体"/>
                <w:color w:val="auto"/>
                <w:sz w:val="24"/>
                <w:highlight w:val="none"/>
              </w:rPr>
              <w:t xml:space="preserve">检查内容</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检查周期</w:t>
            </w:r>
            <w:r/>
          </w:p>
        </w:tc>
      </w:tr>
      <w:tr>
        <w:trPr>
          <w:trHeight w:val="1028"/>
        </w:trPr>
        <w:tc>
          <w:tcPr>
            <w:tcW w:w="187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检查井</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目测</w:t>
            </w:r>
            <w:r/>
          </w:p>
        </w:tc>
        <w:tc>
          <w:tcPr>
            <w:tcW w:w="5040" w:type="dxa"/>
            <w:vAlign w:val="center"/>
            <w:textDirection w:val="lrTb"/>
            <w:noWrap w:val="false"/>
          </w:tcPr>
          <w:p>
            <w:pPr>
              <w:ind w:left="252"/>
              <w:jc w:val="center"/>
              <w:spacing w:line="520" w:lineRule="exact"/>
              <w:rPr>
                <w:rFonts w:ascii="宋体" w:hAnsi="宋体"/>
                <w:color w:val="auto"/>
                <w:sz w:val="24"/>
                <w:highlight w:val="none"/>
              </w:rPr>
            </w:pPr>
            <w:r>
              <w:rPr>
                <w:rFonts w:hint="eastAsia" w:ascii="宋体" w:hAnsi="宋体"/>
                <w:color w:val="auto"/>
                <w:sz w:val="24"/>
                <w:highlight w:val="none"/>
              </w:rPr>
              <w:t xml:space="preserve">违章占压、违章接管、井盖井座、梯蹬、井壁结垢、井底积泥、井身结构等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3个月</w:t>
            </w:r>
            <w:r/>
          </w:p>
        </w:tc>
      </w:tr>
      <w:tr>
        <w:trPr>
          <w:trHeight w:val="506"/>
        </w:trPr>
        <w:tc>
          <w:tcPr>
            <w:tcW w:w="1878" w:type="dxa"/>
            <w:vAlign w:val="center"/>
            <w:vMerge w:val="restart"/>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管道</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目测</w:t>
            </w:r>
            <w:r/>
          </w:p>
        </w:tc>
        <w:tc>
          <w:tcPr>
            <w:tcW w:w="504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违章占压、地面塌陷、水位、水流、淤积情况等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3个月</w:t>
            </w:r>
            <w:r/>
          </w:p>
        </w:tc>
      </w:tr>
      <w:tr>
        <w:trPr>
          <w:trHeight w:val="667"/>
        </w:trPr>
        <w:tc>
          <w:tcPr>
            <w:tcW w:w="1878"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管道反光镜或电视检测</w:t>
            </w:r>
            <w:r/>
          </w:p>
        </w:tc>
        <w:tc>
          <w:tcPr>
            <w:tcW w:w="504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变形、腐蚀、渗漏、接口、结垢、错接等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2年</w:t>
            </w:r>
            <w:r/>
          </w:p>
        </w:tc>
      </w:tr>
      <w:tr>
        <w:trPr>
          <w:trHeight w:val="521"/>
        </w:trPr>
        <w:tc>
          <w:tcPr>
            <w:tcW w:w="1878" w:type="dxa"/>
            <w:vAlign w:val="center"/>
            <w:vMerge w:val="restart"/>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倒虹管（一般是满水管，无法检查必须定期清淤）</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目测</w:t>
            </w:r>
            <w:r/>
          </w:p>
        </w:tc>
        <w:tc>
          <w:tcPr>
            <w:tcW w:w="504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标志牌、两端水位差、闸门等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6个月</w:t>
            </w:r>
            <w:r/>
          </w:p>
        </w:tc>
      </w:tr>
      <w:tr>
        <w:trPr>
          <w:trHeight w:val="1550"/>
        </w:trPr>
        <w:tc>
          <w:tcPr>
            <w:tcW w:w="1878"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电视检测</w:t>
            </w:r>
            <w:r/>
          </w:p>
        </w:tc>
        <w:tc>
          <w:tcPr>
            <w:tcW w:w="504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淤积、腐蚀、接口渗漏、河床冲刷、管顶覆土等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1年</w:t>
            </w:r>
            <w:r/>
          </w:p>
        </w:tc>
      </w:tr>
      <w:tr>
        <w:trPr>
          <w:trHeight w:val="521"/>
        </w:trPr>
        <w:tc>
          <w:tcPr>
            <w:tcW w:w="187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三格式化粪池</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目测</w:t>
            </w:r>
            <w:r/>
          </w:p>
        </w:tc>
        <w:tc>
          <w:tcPr>
            <w:tcW w:w="5040" w:type="dxa"/>
            <w:vAlign w:val="center"/>
            <w:textDirection w:val="lrTb"/>
            <w:noWrap w:val="false"/>
          </w:tcPr>
          <w:p>
            <w:pPr>
              <w:ind w:left="71"/>
              <w:jc w:val="center"/>
              <w:spacing w:line="520" w:lineRule="exact"/>
              <w:rPr>
                <w:rFonts w:ascii="宋体" w:hAnsi="宋体"/>
                <w:color w:val="auto"/>
                <w:sz w:val="24"/>
                <w:highlight w:val="none"/>
              </w:rPr>
            </w:pPr>
            <w:r>
              <w:rPr>
                <w:rFonts w:hint="eastAsia" w:ascii="宋体" w:hAnsi="宋体"/>
                <w:color w:val="auto"/>
                <w:sz w:val="24"/>
                <w:highlight w:val="none"/>
              </w:rPr>
              <w:t xml:space="preserve">违章占压、变形、结垢、渗漏、淤积情况等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3个月</w:t>
            </w:r>
            <w:r/>
          </w:p>
        </w:tc>
      </w:tr>
      <w:tr>
        <w:trPr>
          <w:trHeight w:val="1043"/>
        </w:trPr>
        <w:tc>
          <w:tcPr>
            <w:tcW w:w="187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隔油池和捞毛设施</w:t>
            </w:r>
            <w:r/>
          </w:p>
        </w:tc>
        <w:tc>
          <w:tcPr>
            <w:tcW w:w="1406"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目测</w:t>
            </w:r>
            <w:r/>
          </w:p>
        </w:tc>
        <w:tc>
          <w:tcPr>
            <w:tcW w:w="504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违章占压、变形、结垢、淤积情况等</w:t>
            </w:r>
            <w:r/>
          </w:p>
        </w:tc>
        <w:tc>
          <w:tcPr>
            <w:tcW w:w="106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2个月</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5、检查井日常巡查检查的内容应符合下表规定</w:t>
      </w:r>
      <w:r/>
    </w:p>
    <w:tbl>
      <w:tblPr>
        <w:tblStyle w:val="10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1843"/>
        <w:gridCol w:w="1984"/>
        <w:gridCol w:w="1738"/>
        <w:gridCol w:w="1880"/>
      </w:tblGrid>
      <w:tr>
        <w:trPr/>
        <w:tc>
          <w:tcPr>
            <w:tcW w:w="195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部位</w:t>
            </w:r>
            <w:r/>
          </w:p>
        </w:tc>
        <w:tc>
          <w:tcPr>
            <w:gridSpan w:val="2"/>
            <w:tcW w:w="3827"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外部巡查</w:t>
            </w:r>
            <w:r/>
          </w:p>
        </w:tc>
        <w:tc>
          <w:tcPr>
            <w:gridSpan w:val="2"/>
            <w:tcW w:w="361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内部检查</w:t>
            </w:r>
            <w:r/>
          </w:p>
        </w:tc>
      </w:tr>
      <w:tr>
        <w:trPr/>
        <w:tc>
          <w:tcPr>
            <w:tcW w:w="1951" w:type="dxa"/>
            <w:vAlign w:val="center"/>
            <w:vMerge w:val="restart"/>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内容</w:t>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井的位置标识</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盖、框高差</w:t>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井位标高、井深的标识</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管口孔洞</w:t>
            </w:r>
            <w:r/>
          </w:p>
        </w:tc>
      </w:tr>
      <w:tr>
        <w:trPr/>
        <w:tc>
          <w:tcPr>
            <w:tcW w:w="1951"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井盖埋没</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盖框突出或凹陷</w:t>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爬梯松动、锈蚀或缺损</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流槽破损</w:t>
            </w:r>
            <w:r/>
          </w:p>
        </w:tc>
      </w:tr>
      <w:tr>
        <w:trPr/>
        <w:tc>
          <w:tcPr>
            <w:tcW w:w="1951"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井盖丢失</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跳动和声响</w:t>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井壁泥垢</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井底积泥</w:t>
            </w:r>
            <w:r/>
          </w:p>
        </w:tc>
      </w:tr>
      <w:tr>
        <w:trPr/>
        <w:tc>
          <w:tcPr>
            <w:tcW w:w="1951"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井盖破损</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周边路面破损</w:t>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井壁裂缝</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水流不畅</w:t>
            </w:r>
            <w:r/>
          </w:p>
        </w:tc>
      </w:tr>
      <w:tr>
        <w:trPr/>
        <w:tc>
          <w:tcPr>
            <w:tcW w:w="1951"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井框破损</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井盖标识错误</w:t>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井壁渗漏</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浮渣</w:t>
            </w:r>
            <w:r/>
          </w:p>
        </w:tc>
      </w:tr>
      <w:tr>
        <w:trPr/>
        <w:tc>
          <w:tcPr>
            <w:tcW w:w="1951"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盖、框间隙</w:t>
            </w:r>
            <w:r/>
          </w:p>
        </w:tc>
        <w:tc>
          <w:tcPr>
            <w:tcW w:w="1984" w:type="dxa"/>
            <w:vAlign w:val="center"/>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73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抹面脱落</w:t>
            </w:r>
            <w:r/>
          </w:p>
        </w:tc>
        <w:tc>
          <w:tcPr>
            <w:tcW w:w="1880" w:type="dxa"/>
            <w:vAlign w:val="center"/>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6、井盖的选用应符合下表规定</w:t>
      </w:r>
      <w:r/>
    </w:p>
    <w:tbl>
      <w:tblPr>
        <w:tblStyle w:val="10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1"/>
        <w:gridCol w:w="3641"/>
        <w:gridCol w:w="2080"/>
      </w:tblGrid>
      <w:tr>
        <w:trPr/>
        <w:tc>
          <w:tcPr>
            <w:tcW w:w="280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井盖种类</w:t>
            </w:r>
            <w:r/>
          </w:p>
        </w:tc>
        <w:tc>
          <w:tcPr>
            <w:tcW w:w="364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标准名称</w:t>
            </w:r>
            <w:r/>
          </w:p>
        </w:tc>
        <w:tc>
          <w:tcPr>
            <w:tcW w:w="20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标准标号</w:t>
            </w:r>
            <w:r/>
          </w:p>
        </w:tc>
      </w:tr>
      <w:tr>
        <w:trPr/>
        <w:tc>
          <w:tcPr>
            <w:tcW w:w="280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铸铁井盖</w:t>
            </w:r>
            <w:r/>
          </w:p>
        </w:tc>
        <w:tc>
          <w:tcPr>
            <w:tcW w:w="364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《铸铁检查井盖》</w:t>
            </w:r>
            <w:r/>
          </w:p>
        </w:tc>
        <w:tc>
          <w:tcPr>
            <w:tcW w:w="20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CJ/T3012</w:t>
            </w:r>
            <w:r/>
          </w:p>
        </w:tc>
      </w:tr>
      <w:tr>
        <w:trPr/>
        <w:tc>
          <w:tcPr>
            <w:tcW w:w="280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混凝土井盖</w:t>
            </w:r>
            <w:r/>
          </w:p>
        </w:tc>
        <w:tc>
          <w:tcPr>
            <w:tcW w:w="364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《钢纤维混凝土检查井盖》</w:t>
            </w:r>
            <w:r/>
          </w:p>
        </w:tc>
        <w:tc>
          <w:tcPr>
            <w:tcW w:w="20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JC889</w:t>
            </w:r>
            <w:r/>
          </w:p>
        </w:tc>
      </w:tr>
      <w:tr>
        <w:trPr/>
        <w:tc>
          <w:tcPr>
            <w:tcW w:w="280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塑料树脂类井盖</w:t>
            </w:r>
            <w:r/>
          </w:p>
        </w:tc>
        <w:tc>
          <w:tcPr>
            <w:tcW w:w="364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《再生树脂复合材料检查井盖》</w:t>
            </w:r>
            <w:r/>
          </w:p>
        </w:tc>
        <w:tc>
          <w:tcPr>
            <w:tcW w:w="20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CJ/T 121</w:t>
            </w:r>
            <w:r/>
          </w:p>
        </w:tc>
      </w:tr>
      <w:tr>
        <w:trPr/>
        <w:tc>
          <w:tcPr>
            <w:tcW w:w="280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塑料树脂类井箅</w:t>
            </w:r>
            <w:r/>
          </w:p>
        </w:tc>
        <w:tc>
          <w:tcPr>
            <w:tcW w:w="3641"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《再生树脂复合材料检查井箅》</w:t>
            </w:r>
            <w:r/>
          </w:p>
        </w:tc>
        <w:tc>
          <w:tcPr>
            <w:tcW w:w="208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CJ/T 130</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7、在车辆经过时，井盖不应出现跳动和声响。井盖与井框间允许误差应符合下表规定。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井盖与井框间允许误差（mm）</w:t>
      </w:r>
      <w:r/>
    </w:p>
    <w:tbl>
      <w:tblPr>
        <w:tblStyle w:val="10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2349"/>
        <w:gridCol w:w="2349"/>
        <w:gridCol w:w="2349"/>
      </w:tblGrid>
      <w:tr>
        <w:trPr/>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设施种类</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盖框间隙</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井盖与井框高低差</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井框与路面高低差</w:t>
            </w:r>
            <w:r/>
          </w:p>
        </w:tc>
      </w:tr>
      <w:tr>
        <w:trPr/>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检查井</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＜8</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+5，-10</w:t>
            </w:r>
            <w:r/>
          </w:p>
        </w:tc>
        <w:tc>
          <w:tcPr>
            <w:tcW w:w="2349"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+15，-15</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8、发现井盖缺失或损坏后，须及时安放护栏和警示标志，并在6小时内修复。</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9、检查井的清掏宜采用吸泥车、抓泥车等机械设备。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10、管道检查项目可分为功能状况和结构状况两类，主要检查项目包括下表内容。</w:t>
      </w:r>
      <w:r/>
    </w:p>
    <w:p>
      <w:pPr>
        <w:ind w:firstLine="480"/>
        <w:jc w:val="center"/>
        <w:spacing w:line="520" w:lineRule="exact"/>
        <w:rPr>
          <w:rFonts w:ascii="宋体" w:hAnsi="宋体"/>
          <w:color w:val="auto"/>
          <w:sz w:val="24"/>
          <w:highlight w:val="none"/>
        </w:rPr>
      </w:pPr>
      <w:r>
        <w:rPr>
          <w:rFonts w:hint="eastAsia" w:ascii="宋体" w:hAnsi="宋体"/>
          <w:color w:val="auto"/>
          <w:sz w:val="24"/>
          <w:highlight w:val="none"/>
        </w:rPr>
        <w:t xml:space="preserve">管道状况主要检查项目</w:t>
      </w:r>
      <w:r/>
    </w:p>
    <w:tbl>
      <w:tblPr>
        <w:tblStyle w:val="10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32"/>
        <w:gridCol w:w="3132"/>
        <w:gridCol w:w="3132"/>
      </w:tblGrid>
      <w:tr>
        <w:trPr>
          <w:trHeight w:val="316"/>
        </w:trPr>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检查类别</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功能状况</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结构状况</w:t>
            </w:r>
            <w:r/>
          </w:p>
        </w:tc>
      </w:tr>
      <w:tr>
        <w:trPr/>
        <w:tc>
          <w:tcPr>
            <w:tcW w:w="3132" w:type="dxa"/>
            <w:vAlign w:val="center"/>
            <w:vMerge w:val="restart"/>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检查项目</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管道积泥</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裂缝</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检查井积泥</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变形</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排放口积泥</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错口</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泥垢和油脂</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脱节</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树根</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破损与孔洞</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水位和水流</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渗漏</w:t>
            </w:r>
            <w:r/>
          </w:p>
        </w:tc>
      </w:tr>
      <w:tr>
        <w:trPr/>
        <w:tc>
          <w:tcPr>
            <w:tcW w:w="3132"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残墙、坝根</w:t>
            </w:r>
            <w:r/>
          </w:p>
        </w:tc>
        <w:tc>
          <w:tcPr>
            <w:tcW w:w="3132"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异管穿入</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11、管道养护应符合下列规定：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（1）定期巡视、及时发现和修理管道裂缝、腐蚀、沉降、变形、错口、脱节、破损、孔洞、异管穿入、渗漏、冒溢等情况。</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（2）压力管养护应采用满负荷开泵的方式进行水力冲洗，至少每3个月1次。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（3）定期开盖检查压力井盖板，发现盖板锈蚀、密封垫老化、井体裂缝、管内积泥等情况应及时维修和保养。</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（4）管道和检查井内不得留有石块等阻碍排水的杂物。管道和检查井的最大积泥深度符合下表规定。</w:t>
      </w:r>
      <w:r/>
    </w:p>
    <w:p>
      <w:pPr>
        <w:ind w:firstLine="480"/>
        <w:jc w:val="center"/>
        <w:spacing w:line="520" w:lineRule="exact"/>
        <w:rPr>
          <w:rFonts w:ascii="宋体" w:hAnsi="宋体"/>
          <w:color w:val="auto"/>
          <w:sz w:val="24"/>
          <w:highlight w:val="none"/>
        </w:rPr>
      </w:pPr>
      <w:r>
        <w:rPr>
          <w:rFonts w:hint="eastAsia" w:ascii="宋体" w:hAnsi="宋体"/>
          <w:color w:val="auto"/>
          <w:sz w:val="24"/>
          <w:highlight w:val="none"/>
        </w:rPr>
        <w:t xml:space="preserve">管道和检查井的允许积泥深度</w:t>
      </w:r>
      <w:r/>
    </w:p>
    <w:tbl>
      <w:tblPr>
        <w:tblStyle w:val="1040"/>
        <w:tblW w:w="0" w:type="auto"/>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28"/>
        <w:gridCol w:w="1620"/>
        <w:gridCol w:w="5148"/>
      </w:tblGrid>
      <w:tr>
        <w:trPr/>
        <w:tc>
          <w:tcPr>
            <w:gridSpan w:val="2"/>
            <w:tcW w:w="42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设施类别</w:t>
            </w:r>
            <w:r/>
          </w:p>
        </w:tc>
        <w:tc>
          <w:tcPr>
            <w:tcW w:w="51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允许积泥深度</w:t>
            </w:r>
            <w:r/>
          </w:p>
        </w:tc>
      </w:tr>
      <w:tr>
        <w:trPr/>
        <w:tc>
          <w:tcPr>
            <w:gridSpan w:val="2"/>
            <w:tcW w:w="42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管道</w:t>
            </w:r>
            <w:r/>
          </w:p>
        </w:tc>
        <w:tc>
          <w:tcPr>
            <w:tcW w:w="51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管径的1/5</w:t>
            </w:r>
            <w:r/>
          </w:p>
        </w:tc>
      </w:tr>
      <w:tr>
        <w:trPr/>
        <w:tc>
          <w:tcPr>
            <w:tcW w:w="2628" w:type="dxa"/>
            <w:vAlign w:val="center"/>
            <w:vMerge w:val="restart"/>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检查井</w:t>
            </w:r>
            <w:r/>
          </w:p>
        </w:tc>
        <w:tc>
          <w:tcPr>
            <w:tcW w:w="162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有沉泥槽</w:t>
            </w:r>
            <w:r/>
          </w:p>
        </w:tc>
        <w:tc>
          <w:tcPr>
            <w:tcW w:w="51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管底以下50mm</w:t>
            </w:r>
            <w:r/>
          </w:p>
        </w:tc>
      </w:tr>
      <w:tr>
        <w:trPr/>
        <w:tc>
          <w:tcPr>
            <w:tcW w:w="2628" w:type="dxa"/>
            <w:vAlign w:val="center"/>
            <w:vMerge w:val="continue"/>
            <w:textDirection w:val="lrTb"/>
            <w:noWrap w:val="false"/>
          </w:tcPr>
          <w:p>
            <w:pPr>
              <w:jc w:val="center"/>
              <w:spacing w:line="520" w:lineRule="exact"/>
              <w:rPr>
                <w:rFonts w:ascii="宋体" w:hAnsi="宋体"/>
                <w:color w:val="auto"/>
                <w:sz w:val="24"/>
                <w:highlight w:val="none"/>
              </w:rPr>
            </w:pPr>
            <w:r>
              <w:rPr>
                <w:rFonts w:ascii="宋体" w:hAnsi="宋体"/>
                <w:color w:val="auto"/>
                <w:sz w:val="24"/>
                <w:highlight w:val="none"/>
              </w:rPr>
            </w:r>
            <w:r/>
          </w:p>
        </w:tc>
        <w:tc>
          <w:tcPr>
            <w:tcW w:w="1620"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无沉泥槽</w:t>
            </w:r>
            <w:r/>
          </w:p>
        </w:tc>
        <w:tc>
          <w:tcPr>
            <w:tcW w:w="5148" w:type="dxa"/>
            <w:vAlign w:val="center"/>
            <w:textDirection w:val="lrTb"/>
            <w:noWrap w:val="false"/>
          </w:tcPr>
          <w:p>
            <w:pPr>
              <w:jc w:val="center"/>
              <w:spacing w:line="520" w:lineRule="exact"/>
              <w:rPr>
                <w:rFonts w:ascii="宋体" w:hAnsi="宋体"/>
                <w:color w:val="auto"/>
                <w:sz w:val="24"/>
                <w:highlight w:val="none"/>
              </w:rPr>
            </w:pPr>
            <w:r>
              <w:rPr>
                <w:rFonts w:hint="eastAsia" w:ascii="宋体" w:hAnsi="宋体"/>
                <w:color w:val="auto"/>
                <w:sz w:val="24"/>
                <w:highlight w:val="none"/>
              </w:rPr>
              <w:t xml:space="preserve">主管径的1/5</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12、倒虹管的养护应符合下列规定：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（1）倒虹管养护宜采用水力冲洗的方法，冲洗流速不宜小于1.2M/S。在建有双排倒虹管的地方，可采用关闭其中一条、集中水量冲洗另一条的方法。</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（2）过河倒虹管的河床覆土不应小于0.5M。在河床受冲刷的地方，应每年检查1次倒虹管的覆土状况。</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（3）在通航河道上设置的倒虹管保护标志应定期检查和油漆，保持结构完好和字迹清晰。</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（4）对过河倒虹管进行检修前，当需要抽空管道时，必须先进行抗浮验算。</w:t>
      </w:r>
      <w:r/>
    </w:p>
    <w:p>
      <w:pPr>
        <w:ind w:firstLine="361"/>
        <w:spacing w:line="520" w:lineRule="exact"/>
        <w:rPr>
          <w:rFonts w:ascii="宋体" w:hAnsi="宋体"/>
          <w:color w:val="auto"/>
          <w:sz w:val="24"/>
          <w:highlight w:val="none"/>
        </w:rPr>
      </w:pPr>
      <w:r>
        <w:rPr>
          <w:rFonts w:hint="eastAsia" w:ascii="宋体" w:hAnsi="宋体"/>
          <w:b/>
          <w:bCs/>
          <w:color w:val="auto"/>
          <w:sz w:val="24"/>
          <w:highlight w:val="none"/>
        </w:rPr>
        <w:t xml:space="preserve">（四）、污泥运输与处置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1、污泥盛器和车辆在街道上停放应设置安全标志，夜间应悬挂警示灯。疏通作业完毕后，应及时撤离现场。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2、污泥运输应符合下列规定：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（1）通沟污泥可采用罐车、自卸卡车或污泥拖斗运输，也可采用水陆联运。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（2）在运输过程中，应做到污泥不落地、沿途无洒落。</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（3）污泥运输车辆应加盖，并定期清洗保持整洁。</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（4）污泥在长运输距离前宜进行脱水处理，脱水过程可在中转站进行或送污水处理厂处理。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3、污泥处置应符合下列规定：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（1）污泥在送处置场前，宜进行脱水处理。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（2）污泥处置不得对环境造成污染。</w:t>
      </w:r>
      <w:r/>
    </w:p>
    <w:p>
      <w:pPr>
        <w:ind w:firstLine="361"/>
        <w:spacing w:line="520" w:lineRule="exact"/>
        <w:rPr>
          <w:rFonts w:ascii="宋体" w:hAnsi="宋体"/>
          <w:color w:val="auto"/>
          <w:sz w:val="24"/>
          <w:highlight w:val="none"/>
        </w:rPr>
      </w:pPr>
      <w:r>
        <w:rPr>
          <w:rFonts w:hint="eastAsia" w:ascii="宋体" w:hAnsi="宋体"/>
          <w:b/>
          <w:bCs/>
          <w:color w:val="auto"/>
          <w:sz w:val="24"/>
          <w:highlight w:val="none"/>
        </w:rPr>
        <w:t xml:space="preserve">（五）、泵站的运行与维护</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1、检查维护水泵、闸阀门、管道、集水池、压力井等泵站设备设施时，须采取防硫化氢等有毒有害气体的安全措施。</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2、水泵维修后，其流量不应低于原设计流量的90%，机组效率不应低于原机组效率的90%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3、泵站设施、机电设备和管配件外表除锈、防腐蚀处理宜1年一次。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4、泵站内设置的起重设备、压力容器、安全阀及易燃、易爆、有毒气体检测装置必须根据规定定期检测，合格后方可使用。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5、围墙、道路、泵房等泵站附属设施应保持完好。</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6、泵站应做好卫生、绿化养护和除害灭虫工作。</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7、泵站应做好运行与维护记录。</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8、含电费。</w:t>
      </w:r>
      <w:r/>
    </w:p>
    <w:p>
      <w:pPr>
        <w:ind w:firstLine="361"/>
        <w:spacing w:line="520" w:lineRule="exact"/>
        <w:rPr>
          <w:rFonts w:ascii="宋体" w:hAnsi="宋体"/>
          <w:b/>
          <w:bCs/>
          <w:color w:val="auto"/>
          <w:sz w:val="24"/>
          <w:highlight w:val="none"/>
        </w:rPr>
      </w:pPr>
      <w:r>
        <w:rPr>
          <w:rFonts w:hint="eastAsia" w:ascii="宋体" w:hAnsi="宋体"/>
          <w:b/>
          <w:bCs/>
          <w:color w:val="auto"/>
          <w:sz w:val="24"/>
          <w:highlight w:val="none"/>
        </w:rPr>
        <w:t xml:space="preserve">（六）、安全文明作业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1、养护作业人员上岗前须接受必要的安全作业技术培训，掌握人工急救、防护用具、照明、通讯设备的是用方法及相关安全知识、经考核合格后持证上岗。</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2、检查井井盖开启后，须立即采取相应安全措施，如加盖安全网盖或设置安全护栏，白天加挂三角红旗，夜间加挂安全红灯或设置反光锥。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4、在征得交管部门同意中断交通后，应在道路两端设置断绝交通的警示标志；在繁华地区作业时，应指派专人指挥交通、维护现场秩序。</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5、下井作业应经过严格的审批手续，管道维护和检查严格执行现行相关行业标准。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6、防毒面具应定期校验，下井作业前须再次校验，合格后方可使用。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7、养护人员应统一着装，作业时应按要求设置警示标志和安全护栏，无抛洒滴漏，工完场清，文明作业。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9、巡查、养护、抢修车辆车况应经常保持良好状态，车容整洁，标志明显。</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10、养护单位应建立健全污水管道及其附属设施档案资料管理制度，配备专职档案资料管理人员。各项管网、设施维护台账健全，记录详细，装订规范。运营档案、资料实行计算机自动化管理。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11、养护单位应向社会公布服务承诺、投诉电话和电子信箱。</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12、每个养护单位养护范围内每年被政府部门行政处罚、被社会有效行政投诉或公众媒体有负面报道次数应少于6次。</w:t>
      </w:r>
      <w:r/>
    </w:p>
    <w:p>
      <w:pPr>
        <w:ind w:firstLine="361"/>
        <w:spacing w:line="520" w:lineRule="exact"/>
        <w:rPr>
          <w:rFonts w:ascii="宋体" w:hAnsi="宋体"/>
          <w:b/>
          <w:bCs/>
          <w:color w:val="auto"/>
          <w:sz w:val="24"/>
          <w:highlight w:val="none"/>
        </w:rPr>
      </w:pPr>
      <w:r>
        <w:rPr>
          <w:rFonts w:hint="eastAsia" w:ascii="宋体" w:hAnsi="宋体"/>
          <w:b/>
          <w:bCs/>
          <w:color w:val="auto"/>
          <w:sz w:val="24"/>
          <w:highlight w:val="none"/>
        </w:rPr>
        <w:t xml:space="preserve">（七）工作量清单</w:t>
      </w:r>
      <w:r/>
    </w:p>
    <w:tbl>
      <w:tblPr>
        <w:tblStyle w:val="1040"/>
        <w:tblpPr w:horzAnchor="page" w:tblpX="1271" w:vertAnchor="text" w:tblpY="375" w:leftFromText="180" w:topFromText="0" w:rightFromText="180" w:bottomFromText="0"/>
        <w:tblW w:w="10179" w:type="dxa"/>
        <w:tblInd w:w="0" w:type="dxa"/>
        <w:tblLayout w:type="fixed"/>
        <w:tblCellMar>
          <w:left w:w="108" w:type="dxa"/>
          <w:top w:w="0" w:type="dxa"/>
          <w:right w:w="108" w:type="dxa"/>
          <w:bottom w:w="0" w:type="dxa"/>
        </w:tblCellMar>
        <w:tblLook w:val="04A0" w:firstRow="1" w:lastRow="0" w:firstColumn="1" w:lastColumn="0" w:noHBand="0" w:noVBand="1"/>
      </w:tblPr>
      <w:tblGrid>
        <w:gridCol w:w="459"/>
        <w:gridCol w:w="2029"/>
        <w:gridCol w:w="4756"/>
        <w:gridCol w:w="1322"/>
        <w:gridCol w:w="784"/>
        <w:gridCol w:w="829"/>
      </w:tblGrid>
      <w:tr>
        <w:trPr>
          <w:trHeight w:val="871"/>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lang w:val="zh-CN"/>
              </w:rPr>
              <w:t xml:space="preserve">工作内容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工程量</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Ansi="宋体" w:eastAsia="宋体" w:cs="宋体"/>
                <w:color w:val="auto"/>
                <w:sz w:val="24"/>
                <w:highlight w:val="none"/>
              </w:rPr>
            </w:pPr>
            <w:r>
              <w:rPr>
                <w:rFonts w:hint="eastAsia" w:hAnsi="宋体" w:cs="宋体"/>
                <w:color w:val="auto"/>
                <w:sz w:val="24"/>
                <w:highlight w:val="none"/>
              </w:rPr>
              <w:t xml:space="preserve">备注</w:t>
            </w:r>
            <w:r/>
          </w:p>
        </w:tc>
      </w:tr>
      <w:tr>
        <w:trPr>
          <w:trHeight w:val="871"/>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widowControl/>
              <w:rPr>
                <w:rFonts w:hAnsi="宋体"/>
                <w:color w:val="auto"/>
                <w:sz w:val="18"/>
                <w:highlight w:val="none"/>
                <w:lang w:val="zh-CN"/>
              </w:rPr>
            </w:pPr>
            <w:r>
              <w:rPr>
                <w:rFonts w:hint="eastAsia" w:hAnsi="宋体" w:cs="宋体"/>
                <w:color w:val="auto"/>
                <w:sz w:val="24"/>
                <w:highlight w:val="none"/>
              </w:rPr>
              <w:t xml:space="preserve">埋地污水管</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widowControl/>
              <w:rPr>
                <w:rFonts w:hAnsi="宋体" w:cs="宋体"/>
                <w:color w:val="auto"/>
                <w:sz w:val="28"/>
                <w:szCs w:val="21"/>
                <w:highlight w:val="none"/>
              </w:rPr>
            </w:pPr>
            <w:r>
              <w:rPr>
                <w:rFonts w:hint="eastAsia" w:hAnsi="宋体"/>
                <w:color w:val="auto"/>
                <w:sz w:val="20"/>
                <w:szCs w:val="21"/>
                <w:highlight w:val="none"/>
                <w:lang w:val="zh-CN"/>
              </w:rPr>
              <w:t xml:space="preserve">辖区内埋地管道、检查井疏通养护、清淤、淤泥外运（运距自定，堆场等费用自理），破损管道更换、缺损检查井井圈盖更换、破损检查井修复及排水管渠、河道巡视、检查等</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Ansi="宋体" w:eastAsia="宋体"/>
                <w:color w:val="auto"/>
                <w:sz w:val="20"/>
                <w:szCs w:val="21"/>
                <w:highlight w:val="none"/>
              </w:rPr>
            </w:pPr>
            <w:r>
              <w:rPr>
                <w:rFonts w:hint="eastAsia" w:hAnsi="宋体"/>
                <w:color w:val="auto"/>
                <w:sz w:val="20"/>
                <w:szCs w:val="21"/>
                <w:highlight w:val="none"/>
              </w:rPr>
              <w:t xml:space="preserve">184536</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米</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Ansi="宋体" w:cs="宋体"/>
                <w:color w:val="auto"/>
                <w:sz w:val="24"/>
                <w:highlight w:val="none"/>
              </w:rPr>
            </w:pPr>
            <w:r>
              <w:rPr>
                <w:rFonts w:hAnsi="宋体" w:cs="宋体"/>
                <w:color w:val="auto"/>
                <w:sz w:val="24"/>
                <w:highlight w:val="none"/>
              </w:rPr>
            </w:r>
            <w:r/>
          </w:p>
        </w:tc>
      </w:tr>
      <w:tr>
        <w:trPr>
          <w:trHeight w:val="871"/>
        </w:trPr>
        <w:tc>
          <w:tcPr>
            <w:shd w:val="clear" w:color="auto" w:fill="auto"/>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widowControl/>
              <w:rPr>
                <w:rFonts w:ascii="Times New Roman" w:hAnsi="宋体" w:eastAsia="宋体" w:cs="宋体"/>
                <w:color w:val="auto"/>
                <w:sz w:val="24"/>
                <w:szCs w:val="24"/>
                <w:highlight w:val="none"/>
              </w:rPr>
            </w:pPr>
            <w:r>
              <w:rPr>
                <w:rFonts w:hint="eastAsia"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widowControl/>
              <w:rPr>
                <w:rFonts w:ascii="Times New Roman" w:hAnsi="宋体" w:eastAsia="宋体" w:cs="Times New Roman"/>
                <w:color w:val="auto"/>
                <w:sz w:val="18"/>
                <w:szCs w:val="24"/>
                <w:highlight w:val="none"/>
                <w:lang w:val="zh-CN"/>
              </w:rPr>
            </w:pPr>
            <w:r>
              <w:rPr>
                <w:rFonts w:hint="eastAsia" w:hAnsi="宋体" w:cs="宋体"/>
                <w:color w:val="auto"/>
                <w:sz w:val="24"/>
                <w:highlight w:val="none"/>
              </w:rPr>
              <w:t xml:space="preserve">埋地雨水管</w:t>
            </w:r>
            <w:r/>
          </w:p>
        </w:tc>
        <w:tc>
          <w:tcPr>
            <w:shd w:val="clear" w:color="auto" w:fill="auto"/>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widowControl/>
              <w:rPr>
                <w:rFonts w:ascii="Times New Roman" w:hAnsi="宋体" w:eastAsia="宋体" w:cs="宋体"/>
                <w:color w:val="auto"/>
                <w:sz w:val="28"/>
                <w:szCs w:val="21"/>
                <w:highlight w:val="none"/>
                <w:lang w:val="zh-CN"/>
              </w:rPr>
            </w:pPr>
            <w:r>
              <w:rPr>
                <w:rFonts w:hint="eastAsia" w:hAnsi="宋体"/>
                <w:color w:val="auto"/>
                <w:sz w:val="20"/>
                <w:szCs w:val="21"/>
                <w:highlight w:val="none"/>
                <w:lang w:val="zh-CN"/>
              </w:rPr>
              <w:t xml:space="preserve">辖区内埋地管道、检查井疏通养护、清淤、淤泥外运（运距自定，堆场等费用自理），破损管道更换、缺损检查井井圈盖更换、破损检查井修复及排水管渠、河道巡视、检查等</w:t>
            </w:r>
            <w:r/>
          </w:p>
        </w:tc>
        <w:tc>
          <w:tcPr>
            <w:shd w:val="clear" w:color="auto" w:fill="auto"/>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ascii="Times New Roman" w:hAnsi="宋体" w:eastAsia="宋体" w:cs="Times New Roman"/>
                <w:color w:val="auto"/>
                <w:sz w:val="20"/>
                <w:szCs w:val="21"/>
                <w:highlight w:val="none"/>
              </w:rPr>
            </w:pPr>
            <w:r>
              <w:rPr>
                <w:rFonts w:hint="eastAsia" w:hAnsi="宋体"/>
                <w:color w:val="auto"/>
                <w:sz w:val="20"/>
                <w:szCs w:val="21"/>
                <w:highlight w:val="none"/>
                <w:lang w:val="zh-CN"/>
              </w:rPr>
              <w:t xml:space="preserve">1</w:t>
            </w:r>
            <w:r>
              <w:rPr>
                <w:rFonts w:hint="eastAsia" w:hAnsi="宋体"/>
                <w:color w:val="auto"/>
                <w:sz w:val="20"/>
                <w:szCs w:val="21"/>
                <w:highlight w:val="none"/>
              </w:rPr>
              <w:t xml:space="preserve">70245</w:t>
            </w:r>
            <w:r/>
          </w:p>
        </w:tc>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widowControl/>
              <w:rPr>
                <w:rFonts w:ascii="Times New Roman" w:hAnsi="宋体" w:eastAsia="宋体" w:cs="宋体"/>
                <w:color w:val="auto"/>
                <w:sz w:val="24"/>
                <w:szCs w:val="24"/>
                <w:highlight w:val="none"/>
              </w:rPr>
            </w:pPr>
            <w:r>
              <w:rPr>
                <w:rFonts w:hint="eastAsia" w:hAnsi="宋体" w:cs="宋体"/>
                <w:color w:val="auto"/>
                <w:sz w:val="24"/>
                <w:highlight w:val="none"/>
              </w:rPr>
              <w:t xml:space="preserve">米</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Ansi="宋体" w:cs="宋体"/>
                <w:color w:val="auto"/>
                <w:sz w:val="24"/>
                <w:highlight w:val="none"/>
              </w:rPr>
            </w:pPr>
            <w:r>
              <w:rPr>
                <w:rFonts w:hAnsi="宋体" w:cs="宋体"/>
                <w:color w:val="auto"/>
                <w:sz w:val="24"/>
                <w:highlight w:val="none"/>
              </w:rPr>
            </w:r>
            <w:bookmarkEnd w:id="147"/>
            <w:r/>
            <w:r/>
          </w:p>
        </w:tc>
      </w:tr>
    </w:tbl>
    <w:p>
      <w:pPr>
        <w:pStyle w:val="1449"/>
        <w:ind w:firstLine="0"/>
        <w:spacing w:before="120"/>
        <w:rPr>
          <w:color w:val="auto"/>
          <w:highlight w:val="none"/>
        </w:rPr>
      </w:pPr>
      <w:r/>
      <w:bookmarkStart w:id="163" w:name="_GoBack"/>
      <w:r/>
      <w:bookmarkEnd w:id="163"/>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三、有关说明：</w:t>
      </w:r>
      <w:r/>
    </w:p>
    <w:p>
      <w:pPr>
        <w:ind w:left="525"/>
        <w:spacing w:line="360" w:lineRule="auto"/>
        <w:tabs>
          <w:tab w:val="left" w:pos="525" w:leader="none"/>
          <w:tab w:val="left" w:pos="945" w:leader="none"/>
        </w:tabs>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1、本项目总报价包括从项目开始起到项目正式结束所发生的一切费用。</w:t>
      </w:r>
      <w:r/>
    </w:p>
    <w:p>
      <w:pPr>
        <w:ind w:left="525"/>
        <w:spacing w:line="360" w:lineRule="auto"/>
        <w:tabs>
          <w:tab w:val="left" w:pos="525" w:leader="none"/>
          <w:tab w:val="left" w:pos="945" w:leader="none"/>
        </w:tabs>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2、通过中国海关报关验放进入中国境内且产自关境外的产品不在本项目的投标范围。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Times New Roman"/>
          <w:bCs/>
          <w:color w:val="auto"/>
          <w:sz w:val="24"/>
          <w:highlight w:val="none"/>
        </w:rPr>
        <w:t xml:space="preserve">3、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1110"/>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b/>
          <w:bCs/>
          <w:color w:val="auto"/>
          <w:sz w:val="48"/>
          <w:szCs w:val="48"/>
          <w:highlight w:val="none"/>
        </w:rPr>
        <w:sectPr>
          <w:footnotePr/>
          <w:endnotePr/>
          <w:type w:val="nextPage"/>
          <w:pgSz w:w="11906" w:h="16838" w:orient="portrait"/>
          <w:pgMar w:top="850" w:right="851" w:bottom="850" w:left="850" w:header="624" w:footer="907" w:gutter="0"/>
          <w:cols w:num="1" w:sep="0" w:space="0" w:equalWidth="1"/>
          <w:docGrid w:linePitch="360"/>
          <w:titlePg/>
        </w:sect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第五章  评标方法与评标标准</w:t>
      </w:r>
      <w:r/>
    </w:p>
    <w:p>
      <w:pPr>
        <w:pStyle w:val="1425"/>
        <w:ind w:firstLine="602"/>
        <w:spacing w:before="0" w:after="0" w:line="5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第一部分评标方法</w:t>
      </w:r>
      <w:r/>
    </w:p>
    <w:p>
      <w:pPr>
        <w:pStyle w:val="1425"/>
        <w:spacing w:before="0" w:after="0" w:line="500" w:lineRule="exact"/>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425"/>
        <w:spacing w:before="0" w:after="0" w:line="500" w:lineRule="exact"/>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425"/>
        <w:spacing w:before="0" w:after="0" w:line="500" w:lineRule="exact"/>
        <w:rPr>
          <w:rFonts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425"/>
        <w:spacing w:before="0" w:after="0" w:line="500" w:lineRule="exact"/>
        <w:rPr>
          <w:rFonts w:ascii="宋体" w:hAnsi="宋体" w:cs="宋体"/>
          <w:b/>
          <w:color w:val="auto"/>
          <w:sz w:val="30"/>
          <w:szCs w:val="30"/>
          <w:highlight w:val="none"/>
        </w:rPr>
      </w:pPr>
      <w:r>
        <w:rPr>
          <w:rFonts w:hint="eastAsia" w:ascii="宋体" w:hAnsi="宋体" w:cs="宋体"/>
          <w:bCs/>
          <w:color w:val="auto"/>
          <w:highlight w:val="none"/>
        </w:rPr>
        <w:br w:type="page" w:clear="all"/>
      </w:r>
      <w:r/>
    </w:p>
    <w:p>
      <w:pPr>
        <w:pStyle w:val="1425"/>
        <w:ind w:firstLine="600"/>
        <w:spacing w:before="0" w:after="0" w:line="5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第二部分评标标准</w:t>
      </w:r>
      <w:r/>
    </w:p>
    <w:p>
      <w:pPr>
        <w:pStyle w:val="1425"/>
        <w:ind w:firstLine="562"/>
        <w:spacing w:before="0" w:after="0"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小微型企业价格扣除：本项目专门面向中小/小微企业的，不做价格扣除。</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500" w:lineRule="exact"/>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425"/>
        <w:ind w:firstLine="360"/>
        <w:spacing w:before="0" w:after="0"/>
        <w:rPr>
          <w:rFonts w:ascii="宋体" w:hAnsi="宋体" w:cs="宋体"/>
          <w:b/>
          <w:bCs/>
          <w:i/>
          <w:color w:val="auto"/>
          <w:sz w:val="28"/>
          <w:szCs w:val="28"/>
          <w:highlight w:val="none"/>
        </w:rPr>
      </w:pPr>
      <w:r>
        <w:rPr>
          <w:rFonts w:ascii="宋体" w:hAnsi="宋体" w:cs="宋体"/>
          <w:b/>
          <w:bCs/>
          <w:i/>
          <w:color w:val="auto"/>
          <w:sz w:val="28"/>
          <w:szCs w:val="28"/>
          <w:highlight w:val="none"/>
        </w:rPr>
      </w:r>
      <w:r/>
    </w:p>
    <w:p>
      <w:pPr>
        <w:jc w:val="left"/>
        <w:widowControl/>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1425"/>
        <w:ind w:firstLine="562"/>
        <w:spacing w:before="0" w:after="0"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二、评分标准</w:t>
      </w:r>
      <w:r/>
    </w:p>
    <w:p>
      <w:pPr>
        <w:pStyle w:val="1425"/>
        <w:ind w:firstLine="422"/>
        <w:spacing w:before="0" w:after="0"/>
        <w:rPr>
          <w:rFonts w:ascii="宋体" w:hAnsi="宋体" w:cs="宋体"/>
          <w:b/>
          <w:color w:val="auto"/>
          <w:highlight w:val="none"/>
          <w:u w:val="single"/>
        </w:rPr>
      </w:pPr>
      <w:r>
        <w:rPr>
          <w:rFonts w:hint="eastAsia" w:ascii="宋体" w:hAnsi="宋体" w:cs="宋体"/>
          <w:b/>
          <w:color w:val="auto"/>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具体要求详见《投标人须知》中的相关要求</w:t>
      </w:r>
      <w:r/>
    </w:p>
    <w:p>
      <w:pPr>
        <w:ind w:firstLine="36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(一)评分项目及分值</w:t>
      </w:r>
      <w:r/>
    </w:p>
    <w:p>
      <w:pPr>
        <w:ind w:firstLine="361"/>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投标报价                               2</w:t>
      </w:r>
      <w:r>
        <w:rPr>
          <w:rFonts w:hint="eastAsia" w:ascii="宋体" w:hAnsi="宋体" w:cs="宋体"/>
          <w:b/>
          <w:bCs/>
          <w:color w:val="auto"/>
          <w:sz w:val="24"/>
          <w:highlight w:val="none"/>
        </w:rPr>
        <w:t xml:space="preserve">3</w:t>
      </w:r>
      <w:r>
        <w:rPr>
          <w:rFonts w:hint="eastAsia" w:ascii="宋体" w:hAnsi="宋体" w:eastAsia="宋体" w:cs="宋体"/>
          <w:b/>
          <w:bCs/>
          <w:color w:val="auto"/>
          <w:sz w:val="24"/>
          <w:highlight w:val="none"/>
        </w:rPr>
        <w:t xml:space="preserve">分</w:t>
      </w:r>
      <w:r/>
    </w:p>
    <w:p>
      <w:pPr>
        <w:ind w:firstLine="361"/>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供应商综合评价                         2</w:t>
      </w:r>
      <w:r>
        <w:rPr>
          <w:rFonts w:hint="eastAsia" w:ascii="宋体" w:hAnsi="宋体" w:cs="宋体"/>
          <w:b/>
          <w:bCs/>
          <w:color w:val="auto"/>
          <w:sz w:val="24"/>
          <w:highlight w:val="none"/>
        </w:rPr>
        <w:t xml:space="preserve">3</w:t>
      </w:r>
      <w:r>
        <w:rPr>
          <w:rFonts w:hint="eastAsia" w:ascii="宋体" w:hAnsi="宋体" w:eastAsia="宋体" w:cs="宋体"/>
          <w:b/>
          <w:bCs/>
          <w:color w:val="auto"/>
          <w:sz w:val="24"/>
          <w:highlight w:val="none"/>
        </w:rPr>
        <w:t xml:space="preserve">分</w:t>
      </w:r>
      <w:r/>
    </w:p>
    <w:p>
      <w:pPr>
        <w:ind w:firstLine="361"/>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技术标（暗标）                       </w:t>
      </w:r>
      <w:r>
        <w:rPr>
          <w:rFonts w:hint="eastAsia" w:ascii="宋体" w:hAnsi="宋体" w:cs="宋体"/>
          <w:b/>
          <w:bCs/>
          <w:color w:val="auto"/>
          <w:sz w:val="24"/>
          <w:highlight w:val="none"/>
        </w:rPr>
        <w:t xml:space="preserve">54</w:t>
      </w:r>
      <w:r>
        <w:rPr>
          <w:rFonts w:hint="eastAsia" w:ascii="宋体" w:hAnsi="宋体" w:eastAsia="宋体" w:cs="宋体"/>
          <w:b/>
          <w:bCs/>
          <w:color w:val="auto"/>
          <w:sz w:val="24"/>
          <w:highlight w:val="none"/>
        </w:rPr>
        <w:t xml:space="preserve">分</w:t>
      </w:r>
      <w:r/>
    </w:p>
    <w:p>
      <w:pPr>
        <w:ind w:firstLine="36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（二)各项目评分标准</w:t>
      </w:r>
      <w:r/>
    </w:p>
    <w:p>
      <w:pPr>
        <w:ind w:firstLine="480"/>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1.价格（23分）（本项目专门面向中小企业）</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2.供应商综合实力（23分）</w:t>
      </w:r>
      <w:r/>
    </w:p>
    <w:p>
      <w:pPr>
        <w:ind w:firstLine="480"/>
        <w:jc w:val="left"/>
        <w:spacing w:line="500" w:lineRule="exact"/>
        <w:rPr>
          <w:rFonts w:ascii="宋体" w:hAnsi="宋体" w:eastAsia="宋体" w:cs="Times New Roman"/>
          <w:b/>
          <w:color w:val="auto"/>
          <w:sz w:val="24"/>
          <w:szCs w:val="24"/>
          <w:highlight w:val="none"/>
        </w:rPr>
      </w:pPr>
      <w:r/>
      <w:bookmarkStart w:id="148" w:name="OLE_LINK5"/>
      <w:r/>
      <w:bookmarkStart w:id="149" w:name="OLE_LINK6"/>
      <w:r>
        <w:rPr>
          <w:rFonts w:hint="eastAsia" w:ascii="宋体" w:hAnsi="宋体" w:eastAsia="宋体" w:cs="Times New Roman"/>
          <w:b/>
          <w:color w:val="auto"/>
          <w:sz w:val="24"/>
          <w:szCs w:val="24"/>
          <w:highlight w:val="none"/>
        </w:rPr>
        <w:t xml:space="preserve">2.1企业业绩（1分）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供应商自2022年</w:t>
      </w:r>
      <w:r>
        <w:rPr>
          <w:rFonts w:ascii="宋体" w:hAnsi="宋体" w:eastAsia="宋体" w:cs="宋体"/>
          <w:bCs/>
          <w:color w:val="auto"/>
          <w:sz w:val="24"/>
          <w:highlight w:val="none"/>
        </w:rPr>
        <w:t xml:space="preserve">1</w:t>
      </w:r>
      <w:r>
        <w:rPr>
          <w:rFonts w:hint="eastAsia" w:ascii="宋体" w:hAnsi="宋体" w:eastAsia="宋体" w:cs="宋体"/>
          <w:bCs/>
          <w:color w:val="auto"/>
          <w:sz w:val="24"/>
          <w:highlight w:val="none"/>
        </w:rPr>
        <w:t xml:space="preserve">月1日以来（以合同签订日期为准）承接的类似项目的业绩，有一个得0.5分，最高得1分，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注：投标时提供有效合同原件扫描件及对应项目的任意一期发票原件扫描件加盖公章上传投标系统，否则不得分。</w:t>
      </w:r>
      <w:bookmarkEnd w:id="148"/>
      <w:r/>
      <w:bookmarkEnd w:id="149"/>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2.2人员配备（项目负责人除外）（10.5分）</w:t>
      </w:r>
      <w:r/>
    </w:p>
    <w:p>
      <w:pPr>
        <w:ind w:firstLine="403"/>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①技术负责人：</w:t>
      </w:r>
      <w:r>
        <w:rPr>
          <w:rFonts w:hint="eastAsia" w:ascii="宋体" w:hAnsi="宋体" w:eastAsia="宋体" w:cs="宋体"/>
          <w:bCs/>
          <w:color w:val="auto"/>
          <w:sz w:val="24"/>
          <w:highlight w:val="none"/>
          <w:lang w:val="zh-CN"/>
        </w:rPr>
        <w:t xml:space="preserve">具有中</w:t>
      </w:r>
      <w:r>
        <w:rPr>
          <w:rFonts w:hint="eastAsia" w:ascii="宋体" w:hAnsi="宋体" w:eastAsia="宋体" w:cs="宋体"/>
          <w:bCs/>
          <w:color w:val="auto"/>
          <w:sz w:val="24"/>
          <w:highlight w:val="none"/>
        </w:rPr>
        <w:t xml:space="preserve">级工程师及以上</w:t>
      </w:r>
      <w:r>
        <w:rPr>
          <w:rFonts w:hint="eastAsia" w:ascii="宋体" w:hAnsi="宋体" w:eastAsia="宋体" w:cs="宋体"/>
          <w:bCs/>
          <w:color w:val="auto"/>
          <w:sz w:val="24"/>
          <w:highlight w:val="none"/>
          <w:lang w:val="zh-CN"/>
        </w:rPr>
        <w:t xml:space="preserve">职称</w:t>
      </w:r>
      <w:r>
        <w:rPr>
          <w:rFonts w:hint="eastAsia" w:ascii="宋体" w:hAnsi="宋体" w:eastAsia="宋体" w:cs="宋体"/>
          <w:bCs/>
          <w:color w:val="auto"/>
          <w:sz w:val="24"/>
          <w:highlight w:val="none"/>
        </w:rPr>
        <w:t xml:space="preserve">证书（</w:t>
      </w:r>
      <w:r>
        <w:rPr>
          <w:rFonts w:hint="eastAsia" w:ascii="宋体" w:hAnsi="宋体" w:eastAsia="宋体" w:cs="宋体"/>
          <w:bCs/>
          <w:color w:val="auto"/>
          <w:sz w:val="24"/>
          <w:highlight w:val="none"/>
          <w:lang w:val="zh-CN"/>
        </w:rPr>
        <w:t xml:space="preserve">给水排水工程专业）</w:t>
      </w:r>
      <w:r>
        <w:rPr>
          <w:rFonts w:hint="eastAsia" w:ascii="宋体" w:hAnsi="宋体" w:eastAsia="宋体" w:cs="宋体"/>
          <w:bCs/>
          <w:color w:val="auto"/>
          <w:sz w:val="24"/>
          <w:highlight w:val="none"/>
        </w:rPr>
        <w:t xml:space="preserve">得1分，最高得1分。</w:t>
      </w:r>
      <w:r/>
    </w:p>
    <w:p>
      <w:pPr>
        <w:ind w:firstLine="403"/>
        <w:spacing w:line="360" w:lineRule="auto"/>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②项目组成员（下井作业人员）：</w:t>
      </w:r>
      <w:r>
        <w:rPr>
          <w:rFonts w:hint="eastAsia" w:ascii="宋体" w:hAnsi="宋体" w:eastAsia="宋体" w:cs="宋体"/>
          <w:bCs/>
          <w:color w:val="auto"/>
          <w:sz w:val="24"/>
          <w:highlight w:val="none"/>
          <w:lang w:val="zh-CN"/>
        </w:rPr>
        <w:t xml:space="preserve">具</w:t>
      </w:r>
      <w:r>
        <w:rPr>
          <w:rFonts w:hint="eastAsia" w:ascii="宋体" w:hAnsi="宋体" w:eastAsia="宋体" w:cs="宋体"/>
          <w:bCs/>
          <w:color w:val="auto"/>
          <w:sz w:val="24"/>
          <w:highlight w:val="none"/>
        </w:rPr>
        <w:t xml:space="preserve">有预防硫化氢中毒安全作业岗位培训证书，有一个得0.5分，最高得1分</w:t>
      </w:r>
      <w:r>
        <w:rPr>
          <w:rFonts w:hint="eastAsia" w:asciiTheme="minorEastAsia" w:hAnsiTheme="minorEastAsia"/>
          <w:color w:val="auto"/>
          <w:sz w:val="24"/>
          <w:szCs w:val="24"/>
          <w:highlight w:val="none"/>
        </w:rPr>
        <w:t xml:space="preserve">。</w:t>
      </w:r>
      <w:r/>
    </w:p>
    <w:p>
      <w:pPr>
        <w:ind w:firstLine="403"/>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③项目组成员（潜水作业）持有中国潜水打捞行业协会颁发的潜水员证，有一个得0.5分，最高得1分。</w:t>
      </w:r>
      <w:r/>
    </w:p>
    <w:p>
      <w:pPr>
        <w:ind w:firstLine="403"/>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④项目组成员（安全人员）：具有住建部门颁发安全员C类证书的得1.5分，具有中国潜水打捞行业协会颁发的潜水作业安全员证的得1.5分，最高得3分。</w:t>
      </w:r>
      <w:r/>
    </w:p>
    <w:p>
      <w:pPr>
        <w:ind w:firstLine="403"/>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⑤项目组成员（养护班组人员）：具有中级管道工证书，有一个得0.5分，最高得4.5分。</w:t>
      </w:r>
      <w:r/>
    </w:p>
    <w:p>
      <w:pPr>
        <w:ind w:firstLine="472"/>
        <w:spacing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注：以项目作业人员配备表（格式见附件）中所列为准，未列入人员配备表中的人员不得分，上述所有人员不重复计分，需</w:t>
      </w:r>
      <w:r>
        <w:rPr>
          <w:rFonts w:hint="eastAsia" w:ascii="宋体" w:hAnsi="宋体" w:eastAsia="宋体" w:cs="宋体"/>
          <w:b/>
          <w:color w:val="auto"/>
          <w:sz w:val="24"/>
          <w:highlight w:val="none"/>
          <w:lang w:val="zh-CN"/>
        </w:rPr>
        <w:t xml:space="preserve">提供由社保机构出具的</w:t>
      </w:r>
      <w:r>
        <w:rPr>
          <w:rFonts w:hint="eastAsia" w:ascii="宋体" w:hAnsi="宋体" w:eastAsia="宋体" w:cs="宋体"/>
          <w:b/>
          <w:color w:val="auto"/>
          <w:sz w:val="24"/>
          <w:highlight w:val="none"/>
        </w:rPr>
        <w:t xml:space="preserve">投标人</w:t>
      </w:r>
      <w:r>
        <w:rPr>
          <w:rFonts w:hint="eastAsia" w:ascii="宋体" w:hAnsi="宋体" w:eastAsia="宋体" w:cs="宋体"/>
          <w:b/>
          <w:color w:val="auto"/>
          <w:sz w:val="24"/>
          <w:highlight w:val="none"/>
          <w:lang w:val="zh-CN"/>
        </w:rPr>
        <w:t xml:space="preserve">为</w:t>
      </w:r>
      <w:r>
        <w:rPr>
          <w:rFonts w:hint="eastAsia" w:ascii="宋体" w:hAnsi="宋体" w:eastAsia="宋体" w:cs="宋体"/>
          <w:b/>
          <w:color w:val="auto"/>
          <w:sz w:val="24"/>
          <w:highlight w:val="none"/>
        </w:rPr>
        <w:t xml:space="preserve">上述人员</w:t>
      </w:r>
      <w:r>
        <w:rPr>
          <w:rFonts w:hint="eastAsia" w:ascii="宋体" w:hAnsi="宋体" w:eastAsia="宋体" w:cs="宋体"/>
          <w:b/>
          <w:color w:val="auto"/>
          <w:sz w:val="24"/>
          <w:highlight w:val="none"/>
          <w:lang w:val="zh-CN"/>
        </w:rPr>
        <w:t xml:space="preserve">缴纳的近三个月</w:t>
      </w:r>
      <w:r>
        <w:rPr>
          <w:rFonts w:hint="eastAsia" w:ascii="宋体" w:hAnsi="宋体" w:eastAsia="宋体" w:cs="宋体"/>
          <w:b/>
          <w:color w:val="auto"/>
          <w:sz w:val="24"/>
          <w:highlight w:val="none"/>
        </w:rPr>
        <w:t xml:space="preserve">任一个月（不含投标当月）</w:t>
      </w:r>
      <w:r>
        <w:rPr>
          <w:rFonts w:hint="eastAsia" w:ascii="宋体" w:hAnsi="宋体" w:eastAsia="宋体" w:cs="宋体"/>
          <w:b/>
          <w:color w:val="auto"/>
          <w:sz w:val="24"/>
          <w:highlight w:val="none"/>
          <w:lang w:val="zh-CN"/>
        </w:rPr>
        <w:t xml:space="preserve">的社保缴费证明（</w:t>
      </w:r>
      <w:r>
        <w:rPr>
          <w:rFonts w:hint="eastAsia" w:ascii="宋体" w:hAnsi="宋体" w:eastAsia="宋体" w:cs="宋体"/>
          <w:b/>
          <w:color w:val="auto"/>
          <w:sz w:val="24"/>
          <w:highlight w:val="none"/>
        </w:rPr>
        <w:t xml:space="preserve">如投标供应商为新成立企业，社保缴费月数不足三个月，则提供自公司成立以来至最近连续月（不含投标当月）中任意一个月的依法缴纳社会保障资金的相关材料（提供相关主管部门证明或银行代扣证明）），提供上述人员相关</w:t>
      </w:r>
      <w:r>
        <w:rPr>
          <w:rFonts w:hint="eastAsia" w:ascii="宋体" w:hAnsi="宋体" w:eastAsia="宋体" w:cs="宋体"/>
          <w:b/>
          <w:color w:val="auto"/>
          <w:sz w:val="24"/>
          <w:highlight w:val="none"/>
          <w:lang w:val="zh-CN"/>
        </w:rPr>
        <w:t xml:space="preserve">有效证书</w:t>
      </w:r>
      <w:r>
        <w:rPr>
          <w:rFonts w:hint="eastAsia" w:ascii="宋体" w:hAnsi="宋体" w:eastAsia="宋体" w:cs="宋体"/>
          <w:b/>
          <w:color w:val="auto"/>
          <w:sz w:val="24"/>
          <w:highlight w:val="none"/>
        </w:rPr>
        <w:t xml:space="preserve">扫描</w:t>
      </w:r>
      <w:r>
        <w:rPr>
          <w:rFonts w:hint="eastAsia" w:ascii="宋体" w:hAnsi="宋体" w:eastAsia="宋体" w:cs="宋体"/>
          <w:b/>
          <w:color w:val="auto"/>
          <w:sz w:val="24"/>
          <w:highlight w:val="none"/>
          <w:lang w:val="zh-CN"/>
        </w:rPr>
        <w:t xml:space="preserve">件加盖公章</w:t>
      </w:r>
      <w:r>
        <w:rPr>
          <w:rFonts w:hint="eastAsia" w:ascii="宋体" w:hAnsi="宋体" w:eastAsia="宋体" w:cs="宋体"/>
          <w:b/>
          <w:color w:val="auto"/>
          <w:sz w:val="24"/>
          <w:highlight w:val="none"/>
        </w:rPr>
        <w:t xml:space="preserve">上传投标系统，</w:t>
      </w:r>
      <w:r>
        <w:rPr>
          <w:rFonts w:hint="eastAsia" w:ascii="宋体" w:hAnsi="宋体" w:eastAsia="宋体" w:cs="宋体"/>
          <w:b/>
          <w:color w:val="auto"/>
          <w:sz w:val="24"/>
          <w:highlight w:val="none"/>
          <w:lang w:val="zh-CN"/>
        </w:rPr>
        <w:t xml:space="preserve">不提供</w:t>
      </w:r>
      <w:r>
        <w:rPr>
          <w:rFonts w:hint="eastAsia" w:ascii="宋体" w:hAnsi="宋体" w:eastAsia="宋体" w:cs="宋体"/>
          <w:b/>
          <w:color w:val="auto"/>
          <w:sz w:val="24"/>
          <w:highlight w:val="none"/>
        </w:rPr>
        <w:t xml:space="preserve">或提供不全</w:t>
      </w:r>
      <w:r>
        <w:rPr>
          <w:rFonts w:hint="eastAsia" w:ascii="宋体" w:hAnsi="宋体" w:eastAsia="宋体" w:cs="宋体"/>
          <w:b/>
          <w:color w:val="auto"/>
          <w:sz w:val="24"/>
          <w:highlight w:val="none"/>
          <w:lang w:val="zh-CN"/>
        </w:rPr>
        <w:t xml:space="preserve">不得分</w:t>
      </w:r>
      <w:r/>
    </w:p>
    <w:p>
      <w:pPr>
        <w:ind w:firstLine="480"/>
        <w:jc w:val="left"/>
        <w:spacing w:line="500" w:lineRule="exact"/>
        <w:rPr>
          <w:rFonts w:ascii="宋体" w:hAnsi="宋体" w:eastAsia="宋体" w:cs="Times New Roman"/>
          <w:b/>
          <w:color w:val="auto"/>
          <w:sz w:val="24"/>
          <w:szCs w:val="24"/>
          <w:highlight w:val="none"/>
        </w:rPr>
      </w:pPr>
      <w:r/>
      <w:bookmarkStart w:id="150" w:name="OLE_LINK2"/>
      <w:r/>
      <w:bookmarkStart w:id="151" w:name="OLE_LINK3"/>
      <w:r/>
      <w:bookmarkStart w:id="152" w:name="OLE_LINK4"/>
      <w:r>
        <w:rPr>
          <w:rFonts w:hint="eastAsia" w:ascii="宋体" w:hAnsi="宋体" w:eastAsia="宋体" w:cs="Times New Roman"/>
          <w:b/>
          <w:color w:val="auto"/>
          <w:sz w:val="24"/>
          <w:szCs w:val="24"/>
          <w:highlight w:val="none"/>
        </w:rPr>
        <w:t xml:space="preserve">2.3项目配备机械设备(10分)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①投标供应商配备污水处理车，有一辆得2分，最高得2分；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②投标供应商配备清洗车，有一辆得</w:t>
      </w:r>
      <w:r>
        <w:rPr>
          <w:rFonts w:ascii="宋体" w:hAnsi="宋体" w:eastAsia="宋体" w:cs="宋体"/>
          <w:bCs/>
          <w:color w:val="auto"/>
          <w:sz w:val="24"/>
          <w:highlight w:val="none"/>
        </w:rPr>
        <w:t xml:space="preserve">1.5</w:t>
      </w:r>
      <w:r>
        <w:rPr>
          <w:rFonts w:hint="eastAsia" w:ascii="宋体" w:hAnsi="宋体" w:eastAsia="宋体" w:cs="宋体"/>
          <w:bCs/>
          <w:color w:val="auto"/>
          <w:sz w:val="24"/>
          <w:highlight w:val="none"/>
        </w:rPr>
        <w:t xml:space="preserve">分，最高得</w:t>
      </w:r>
      <w:r>
        <w:rPr>
          <w:rFonts w:ascii="宋体" w:hAnsi="宋体" w:eastAsia="宋体" w:cs="宋体"/>
          <w:bCs/>
          <w:color w:val="auto"/>
          <w:sz w:val="24"/>
          <w:highlight w:val="none"/>
        </w:rPr>
        <w:t xml:space="preserve">1.5</w:t>
      </w:r>
      <w:r>
        <w:rPr>
          <w:rFonts w:hint="eastAsia" w:ascii="宋体" w:hAnsi="宋体" w:eastAsia="宋体" w:cs="宋体"/>
          <w:bCs/>
          <w:color w:val="auto"/>
          <w:sz w:val="24"/>
          <w:highlight w:val="none"/>
        </w:rPr>
        <w:t xml:space="preserve">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③投标供应商每配备1辆轻型载货汽车得</w:t>
      </w:r>
      <w:r>
        <w:rPr>
          <w:rFonts w:ascii="宋体" w:hAnsi="宋体" w:eastAsia="宋体" w:cs="宋体"/>
          <w:bCs/>
          <w:color w:val="auto"/>
          <w:sz w:val="24"/>
          <w:highlight w:val="none"/>
        </w:rPr>
        <w:t xml:space="preserve">1</w:t>
      </w:r>
      <w:r>
        <w:rPr>
          <w:rFonts w:hint="eastAsia" w:ascii="宋体" w:hAnsi="宋体" w:eastAsia="宋体" w:cs="宋体"/>
          <w:bCs/>
          <w:color w:val="auto"/>
          <w:sz w:val="24"/>
          <w:highlight w:val="none"/>
        </w:rPr>
        <w:t xml:space="preserve">.5分，每配1辆管道巡查车得</w:t>
      </w:r>
      <w:r>
        <w:rPr>
          <w:rFonts w:ascii="宋体" w:hAnsi="宋体" w:eastAsia="宋体" w:cs="宋体"/>
          <w:bCs/>
          <w:color w:val="auto"/>
          <w:sz w:val="24"/>
          <w:highlight w:val="none"/>
        </w:rPr>
        <w:t xml:space="preserve">1</w:t>
      </w:r>
      <w:r>
        <w:rPr>
          <w:rFonts w:hint="eastAsia" w:ascii="宋体" w:hAnsi="宋体" w:eastAsia="宋体" w:cs="宋体"/>
          <w:bCs/>
          <w:color w:val="auto"/>
          <w:sz w:val="24"/>
          <w:highlight w:val="none"/>
        </w:rPr>
        <w:t xml:space="preserve">.5分，最高得</w:t>
      </w:r>
      <w:r>
        <w:rPr>
          <w:rFonts w:ascii="宋体" w:hAnsi="宋体" w:eastAsia="宋体" w:cs="宋体"/>
          <w:bCs/>
          <w:color w:val="auto"/>
          <w:sz w:val="24"/>
          <w:highlight w:val="none"/>
        </w:rPr>
        <w:t xml:space="preserve">3</w:t>
      </w:r>
      <w:r>
        <w:rPr>
          <w:rFonts w:hint="eastAsia" w:ascii="宋体" w:hAnsi="宋体" w:eastAsia="宋体" w:cs="宋体"/>
          <w:bCs/>
          <w:color w:val="auto"/>
          <w:sz w:val="24"/>
          <w:highlight w:val="none"/>
        </w:rPr>
        <w:t xml:space="preserve">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④投标供应商配备管道QV潜望镜、管道检测机器人、动力声呐检测机器人、应急抢险自吸泵组（额定流量≥600㎥，提供设备铭牌或证明材料）、液压抽水泵系统设备、硫化氢气体检测仪、潜水衣及呼吸器，每配备一套设备得0.5分，最高得3.5分；</w:t>
      </w:r>
      <w:r/>
    </w:p>
    <w:p>
      <w:pPr>
        <w:pStyle w:val="1187"/>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highlight w:val="none"/>
        </w:rPr>
        <w:t xml:space="preserve">注：以供应商车辆/设备配备表（格式见附件）中所列为准，未列入配备表中的车辆/设备不得分。若为自有的，提供购置发票、车辆行驶证、车辆及设备照片等；若是租赁的，提供租赁协议</w:t>
      </w:r>
      <w:r>
        <w:rPr>
          <w:rFonts w:hint="eastAsia" w:asciiTheme="minorEastAsia" w:hAnsiTheme="minorEastAsia"/>
          <w:b/>
          <w:color w:val="auto"/>
          <w:sz w:val="24"/>
          <w:szCs w:val="24"/>
          <w:highlight w:val="none"/>
        </w:rPr>
        <w:t xml:space="preserve">（协议有效期须包含整个服务期）</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highlight w:val="none"/>
        </w:rPr>
        <w:t xml:space="preserve">租赁费发票、出租方购置发票、车辆行驶证、车辆及设备照片。相关证明材料扫描加盖公章上传投标系统中，不提供或提供不全不得分</w:t>
      </w:r>
      <w:bookmarkEnd w:id="150"/>
      <w:r/>
      <w:bookmarkEnd w:id="151"/>
      <w:r/>
      <w:bookmarkEnd w:id="152"/>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2.4体系认证（1.5分）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供应商具有有效期内的质量管理体系认证证书、环境管理体系认证证书、职业安全健康管理体系认证证书，每一项得0.5分，最高得1.5分，</w:t>
      </w:r>
      <w:r/>
    </w:p>
    <w:p>
      <w:pPr>
        <w:ind w:firstLine="480"/>
        <w:jc w:val="left"/>
        <w:spacing w:line="500" w:lineRule="exact"/>
        <w:rPr>
          <w:rFonts w:ascii="宋体" w:hAnsi="宋体"/>
          <w:b/>
          <w:color w:val="auto"/>
          <w:sz w:val="24"/>
          <w:szCs w:val="24"/>
          <w:highlight w:val="none"/>
        </w:rPr>
      </w:pPr>
      <w:r>
        <w:rPr>
          <w:rFonts w:hint="eastAsia" w:ascii="宋体" w:hAnsi="宋体" w:eastAsia="宋体" w:cs="宋体"/>
          <w:b/>
          <w:color w:val="auto"/>
          <w:sz w:val="24"/>
          <w:highlight w:val="none"/>
        </w:rPr>
        <w:t xml:space="preserve">注：证书的认证的业务覆盖范围：包含市政管道维护的范围，投标时须提供体系证书扫描件和全国认证认可信息公共服务平台网址查询的有效证明截图扫描件并加盖公章上传投标系统，否则不得分</w:t>
      </w:r>
      <w:r/>
    </w:p>
    <w:p>
      <w:pPr>
        <w:ind w:firstLine="480"/>
        <w:jc w:val="left"/>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3.技术标（54分）（暗标）：</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（1）针对本项目的施工组织总体设想及本项目的了解程度（8分）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①本项目的施工组织总体设想（4分）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②对本项目的了解程度（4分）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（2）针对本项目的重点、难点分析及合理化建议（8分）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①本项目的重点、难点分析（4分）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②对应的合理化建议（4分）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bookmarkStart w:id="153" w:name="_Toc32492"/>
      <w:r>
        <w:rPr>
          <w:rFonts w:hint="eastAsia" w:ascii="宋体" w:hAnsi="宋体" w:eastAsia="宋体" w:cs="Times New Roman"/>
          <w:b/>
          <w:color w:val="auto"/>
          <w:sz w:val="24"/>
          <w:szCs w:val="24"/>
          <w:highlight w:val="none"/>
        </w:rPr>
        <w:t xml:space="preserve">（3）针对本项目的具体实施方案</w:t>
      </w:r>
      <w:bookmarkEnd w:id="153"/>
      <w:r>
        <w:rPr>
          <w:rFonts w:hint="eastAsia" w:ascii="宋体" w:hAnsi="宋体" w:eastAsia="宋体" w:cs="Times New Roman"/>
          <w:b/>
          <w:color w:val="auto"/>
          <w:sz w:val="24"/>
          <w:szCs w:val="24"/>
          <w:highlight w:val="none"/>
        </w:rPr>
        <w:t xml:space="preserve">及质量保证措施（8分）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①具体实施方案（4分）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ascii="宋体" w:hAnsi="宋体" w:eastAsia="宋体" w:cs="宋体"/>
          <w:bCs/>
          <w:color w:val="auto"/>
          <w:sz w:val="24"/>
          <w:highlight w:val="none"/>
        </w:rPr>
        <w:t xml:space="preserve">②</w:t>
      </w:r>
      <w:r>
        <w:rPr>
          <w:rFonts w:hint="eastAsia" w:ascii="宋体" w:hAnsi="宋体" w:eastAsia="宋体" w:cs="宋体"/>
          <w:bCs/>
          <w:color w:val="auto"/>
          <w:sz w:val="24"/>
          <w:highlight w:val="none"/>
        </w:rPr>
        <w:t xml:space="preserve">质量保证措施（4分）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（4）应急服务方案及应急服务保证措施（8分）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①应急服务方案（4分）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②应急服务保证措施（4分）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（5）针对本项目的安全文明施工及管网设施维修及保养方案（8分）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①安全文明施工方案（4分）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②管网设施维修及保养方案（4分）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（6）环保措施以及投诉处理方案（8分）：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①管沟污泥环保方案（4分）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②投诉处理方案（4分）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内容全面完整、明确清晰且具有针对性每项得4分；内容基本完整、较具有针对性每项得2分；内容一般的每项得1分；未提供或不满足要求的不得分。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（7）养护管理制度和养护台帐管理（6分）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①养护管理制度（3分）</w:t>
      </w:r>
      <w:r/>
    </w:p>
    <w:p>
      <w:pPr>
        <w:ind w:firstLine="360"/>
        <w:spacing w:line="360" w:lineRule="auto"/>
        <w:tabs>
          <w:tab w:val="left" w:pos="94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②养护台帐管理（3分）</w:t>
      </w:r>
      <w:r/>
    </w:p>
    <w:p>
      <w:pPr>
        <w:ind w:firstLine="480"/>
        <w:jc w:val="left"/>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注：</w:t>
      </w:r>
      <w:r>
        <w:rPr>
          <w:rFonts w:ascii="宋体" w:hAnsi="宋体" w:eastAsia="宋体" w:cs="Times New Roman"/>
          <w:b/>
          <w:color w:val="auto"/>
          <w:sz w:val="24"/>
          <w:szCs w:val="24"/>
          <w:highlight w:val="none"/>
        </w:rPr>
        <w:t xml:space="preserve">对上述</w:t>
      </w:r>
      <w:r>
        <w:rPr>
          <w:rFonts w:hint="eastAsia" w:ascii="宋体" w:hAnsi="宋体" w:eastAsia="宋体" w:cs="Times New Roman"/>
          <w:b/>
          <w:color w:val="auto"/>
          <w:sz w:val="24"/>
          <w:szCs w:val="24"/>
          <w:highlight w:val="none"/>
        </w:rPr>
        <w:t xml:space="preserve">2项目每项</w:t>
      </w:r>
      <w:r>
        <w:rPr>
          <w:rFonts w:ascii="宋体" w:hAnsi="宋体" w:eastAsia="宋体" w:cs="Times New Roman"/>
          <w:b/>
          <w:color w:val="auto"/>
          <w:sz w:val="24"/>
          <w:szCs w:val="24"/>
          <w:highlight w:val="none"/>
        </w:rPr>
        <w:t xml:space="preserve">内容全面完整、明确清晰且具有针对性每项得</w:t>
      </w:r>
      <w:r>
        <w:rPr>
          <w:rFonts w:hint="eastAsia" w:ascii="宋体" w:hAnsi="宋体" w:eastAsia="宋体" w:cs="Times New Roman"/>
          <w:b/>
          <w:color w:val="auto"/>
          <w:sz w:val="24"/>
          <w:szCs w:val="24"/>
          <w:highlight w:val="none"/>
        </w:rPr>
        <w:t xml:space="preserve">3</w:t>
      </w:r>
      <w:r>
        <w:rPr>
          <w:rFonts w:ascii="宋体" w:hAnsi="宋体" w:eastAsia="宋体" w:cs="Times New Roman"/>
          <w:b/>
          <w:color w:val="auto"/>
          <w:sz w:val="24"/>
          <w:szCs w:val="24"/>
          <w:highlight w:val="none"/>
        </w:rPr>
        <w:t xml:space="preserve">分；内容基本完整、较具有针对性每项得2分；内容一般的每项得1分；未提供或不满足要求的不得分。</w:t>
      </w:r>
      <w:r/>
    </w:p>
    <w:p>
      <w:pPr>
        <w:ind w:firstLine="480"/>
        <w:jc w:val="left"/>
        <w:spacing w:line="5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360"/>
        <w:spacing w:line="440" w:lineRule="exact"/>
        <w:rPr>
          <w:rFonts w:ascii="宋体" w:hAnsi="宋体" w:eastAsia="宋体" w:cs="宋体"/>
          <w:b/>
          <w:bCs/>
          <w:color w:val="auto"/>
          <w:sz w:val="24"/>
          <w:highlight w:val="none"/>
        </w:rPr>
      </w:pPr>
      <w:r>
        <w:rPr>
          <w:rFonts w:hint="eastAsia" w:ascii="宋体" w:hAnsi="宋体" w:eastAsia="宋体" w:cs="Times New Roman"/>
          <w:b/>
          <w:color w:val="auto"/>
          <w:sz w:val="24"/>
          <w:szCs w:val="24"/>
          <w:highlight w:val="none"/>
        </w:rPr>
        <w:t xml:space="preserve">注：技术文件不得少于80页，多于300页，否则视为无效投标。</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ascii="宋体" w:hAnsi="宋体" w:eastAsia="宋体" w:cs="宋体"/>
          <w:b/>
          <w:bCs/>
          <w:color w:val="auto"/>
          <w:sz w:val="48"/>
          <w:szCs w:val="48"/>
          <w:highlight w:val="none"/>
        </w:rPr>
      </w:r>
      <w:r/>
    </w:p>
    <w:p>
      <w:pPr>
        <w:jc w:val="center"/>
        <w:spacing w:line="360" w:lineRule="auto"/>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第六章  </w:t>
      </w:r>
      <w:bookmarkEnd w:id="144"/>
      <w:r/>
      <w:bookmarkEnd w:id="145"/>
      <w:r/>
      <w:bookmarkEnd w:id="146"/>
      <w:r>
        <w:rPr>
          <w:rFonts w:hint="eastAsia" w:ascii="宋体" w:hAnsi="宋体" w:eastAsia="宋体" w:cs="宋体"/>
          <w:b/>
          <w:bCs/>
          <w:color w:val="auto"/>
          <w:sz w:val="48"/>
          <w:szCs w:val="48"/>
          <w:highlight w:val="none"/>
        </w:rPr>
        <w:t xml:space="preserve">投标文件内容与格式</w:t>
      </w:r>
      <w:r/>
    </w:p>
    <w:p>
      <w:pPr>
        <w:pStyle w:val="1425"/>
        <w:ind w:firstLine="602"/>
        <w:spacing w:before="0" w:after="0"/>
        <w:rPr>
          <w:rFonts w:ascii="宋体" w:hAnsi="宋体" w:cs="宋体"/>
          <w:b/>
          <w:color w:val="auto"/>
          <w:sz w:val="30"/>
          <w:szCs w:val="30"/>
          <w:highlight w:val="none"/>
        </w:rPr>
      </w:pPr>
      <w:r/>
      <w:bookmarkStart w:id="154" w:name="_Hlt26955039"/>
      <w:r/>
      <w:bookmarkEnd w:id="154"/>
      <w:r/>
      <w:bookmarkStart w:id="155" w:name="_Hlt26671244"/>
      <w:r/>
      <w:bookmarkEnd w:id="155"/>
      <w:r>
        <w:rPr>
          <w:rFonts w:hint="eastAsia" w:ascii="宋体" w:hAnsi="宋体" w:cs="宋体"/>
          <w:b/>
          <w:color w:val="auto"/>
          <w:sz w:val="30"/>
          <w:szCs w:val="30"/>
          <w:highlight w:val="none"/>
        </w:rPr>
        <w:t xml:space="preserve">第一部分 投标文件内容</w:t>
      </w:r>
      <w:r/>
    </w:p>
    <w:p>
      <w:pPr>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一、资格证明文件</w:t>
      </w:r>
      <w:r/>
    </w:p>
    <w:tbl>
      <w:tblPr>
        <w:tblStyle w:val="104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42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425"/>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42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42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42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419"/>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42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42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42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42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42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42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42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425"/>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425"/>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42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425"/>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jc w:val="cente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7"/>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上述资格证明文件第8项，如本项目有特定资格要求的（详见第一章《投标邀请》），须提供相应的特定资格证明文件。</w:t>
      </w:r>
      <w:r/>
    </w:p>
    <w:p>
      <w:pPr>
        <w:numPr>
          <w:ilvl w:val="0"/>
          <w:numId w:val="7"/>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如项目接受联合体投标且投标人为联合体时，上述资格证明文件中：第2、6项可由联合体主体单位（即联合体牵头人）代表联合体提供；第1、3、4、5、7（如有要求）、8（如有要求）项，联合体各方均须提供。</w:t>
      </w:r>
      <w:r/>
    </w:p>
    <w:p>
      <w:pPr>
        <w:rPr>
          <w:rFonts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二、符合性证明文件及其他证明文件</w:t>
      </w:r>
      <w:r/>
    </w:p>
    <w:p>
      <w:pPr>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（一）符合性证明文件</w:t>
      </w:r>
      <w:r/>
    </w:p>
    <w:p>
      <w:pPr>
        <w:jc w:val="cente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tbl>
      <w:tblPr>
        <w:tblStyle w:val="10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42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42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425"/>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开标一览表（“苏采云”系统中给定格式）</w:t>
            </w:r>
            <w:r/>
          </w:p>
        </w:tc>
        <w:tc>
          <w:tcPr>
            <w:tcW w:w="1979" w:type="dxa"/>
            <w:vAlign w:val="center"/>
            <w:vMerge w:val="restart"/>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425"/>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jc w:val="center"/>
          <w:trHeight w:val="567"/>
        </w:trPr>
        <w:tc>
          <w:tcPr>
            <w:tcW w:w="823" w:type="dxa"/>
            <w:vAlign w:val="center"/>
            <w:textDirection w:val="lrTb"/>
            <w:noWrap w:val="false"/>
          </w:tcPr>
          <w:p>
            <w:pPr>
              <w:pStyle w:val="142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W w:w="6095" w:type="dxa"/>
            <w:vAlign w:val="center"/>
            <w:textDirection w:val="lrTb"/>
            <w:noWrap w:val="false"/>
          </w:tcPr>
          <w:p>
            <w:pPr>
              <w:pStyle w:val="1425"/>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425"/>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8"/>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上述符合性证明文件第6项，《采购需求》中如有要求提供证明材料的，须按要求提供，否则投标文件无效。</w:t>
      </w:r>
      <w:r/>
    </w:p>
    <w:p>
      <w:pPr>
        <w:numPr>
          <w:ilvl w:val="0"/>
          <w:numId w:val="8"/>
        </w:num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（二）其他证明文件</w:t>
      </w:r>
      <w:r/>
    </w:p>
    <w:p>
      <w:pPr>
        <w:ind w:left="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1.《评标方法与评标标准》中涉及的证明文件。</w:t>
      </w:r>
      <w:r/>
    </w:p>
    <w:p>
      <w:pPr>
        <w:ind w:left="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投标文件格式</w:t>
      </w:r>
      <w:r/>
    </w:p>
    <w:p>
      <w:pPr>
        <w:pStyle w:val="1425"/>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pStyle w:val="1425"/>
        <w:ind w:firstLine="0"/>
        <w:spacing w:before="0" w:after="0"/>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56" w:name="_Hlk165208193"/>
      <w:r>
        <w:rPr>
          <w:rFonts w:hint="eastAsia" w:ascii="宋体" w:hAnsi="宋体" w:eastAsia="宋体" w:cs="宋体"/>
          <w:bCs/>
          <w:color w:val="auto"/>
          <w:sz w:val="28"/>
          <w:szCs w:val="28"/>
          <w:highlight w:val="none"/>
        </w:rPr>
        <w:t xml:space="preserve">政府采购编号：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2025年   月</w:t>
      </w:r>
      <w:bookmarkEnd w:id="156"/>
      <w:r/>
      <w:r/>
    </w:p>
    <w:p>
      <w:pPr>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360" w:lineRule="auto"/>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42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 （项目编号）项目，兹授权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42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42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42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424"/>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42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424"/>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424"/>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42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424"/>
        <w:ind w:firstLine="0"/>
        <w:spacing w:line="360" w:lineRule="auto"/>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pStyle w:val="142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被授权人签字：</w:t>
      </w:r>
      <w:r>
        <w:rPr>
          <w:rFonts w:hint="eastAsia" w:ascii="宋体" w:hAnsi="宋体" w:cs="宋体"/>
          <w:color w:val="auto"/>
          <w:sz w:val="24"/>
          <w:szCs w:val="24"/>
          <w:highlight w:val="none"/>
          <w:u w:val="single"/>
        </w:rPr>
        <w:t xml:space="preserve">         </w:t>
      </w:r>
      <w:r/>
    </w:p>
    <w:p>
      <w:pPr>
        <w:pStyle w:val="1424"/>
        <w:ind w:firstLine="0"/>
        <w:spacing w:line="360" w:lineRule="auto"/>
        <w:rPr>
          <w:rFonts w:ascii="宋体" w:hAnsi="宋体" w:cs="宋体"/>
          <w:b/>
          <w:color w:val="auto"/>
          <w:sz w:val="30"/>
          <w:highlight w:val="none"/>
        </w:rPr>
      </w:pPr>
      <w:r>
        <w:rPr>
          <w:rFonts w:ascii="宋体" w:hAnsi="宋体" w:cs="宋体"/>
          <w:b/>
          <w:color w:val="auto"/>
          <w:sz w:val="30"/>
          <w:highlight w:val="none"/>
        </w:rPr>
      </w:r>
      <w:r/>
    </w:p>
    <w:p>
      <w:pPr>
        <w:pStyle w:val="1424"/>
        <w:ind w:firstLine="0"/>
        <w:spacing w:line="360" w:lineRule="auto"/>
        <w:rPr>
          <w:rFonts w:ascii="宋体" w:hAnsi="宋体" w:cs="宋体"/>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424"/>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424"/>
        <w:numPr>
          <w:ilvl w:val="0"/>
          <w:numId w:val="9"/>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若投标人为事业单位或其他组织或分支机构（仅限招标文件注明允许分支机构投标情形的），则法定代表人处的签字人可为单位负责人。</w:t>
      </w:r>
      <w:r/>
    </w:p>
    <w:p>
      <w:pPr>
        <w:pStyle w:val="1424"/>
        <w:numPr>
          <w:ilvl w:val="0"/>
          <w:numId w:val="9"/>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当被授权人为法定代表人（或上述情况的单位负责人）时，只需在法定代表人处签字即可。</w:t>
      </w:r>
      <w:r/>
    </w:p>
    <w:p>
      <w:pPr>
        <w:pStyle w:val="1424"/>
        <w:numPr>
          <w:ilvl w:val="0"/>
          <w:numId w:val="9"/>
        </w:num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供应商为自然人情形的，可不提供本《授权委托书》。</w:t>
      </w:r>
      <w:r/>
    </w:p>
    <w:p>
      <w:pPr>
        <w:pStyle w:val="1424"/>
        <w:numPr>
          <w:ilvl w:val="0"/>
          <w:numId w:val="9"/>
        </w:numPr>
        <w:ind w:firstLine="480"/>
        <w:spacing w:line="360" w:lineRule="auto"/>
        <w:rPr>
          <w:rFonts w:ascii="宋体" w:hAnsi="宋体" w:cs="宋体"/>
          <w:color w:val="auto"/>
          <w:sz w:val="24"/>
          <w:szCs w:val="20"/>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424"/>
        <w:ind w:firstLine="0"/>
        <w:spacing w:line="360" w:lineRule="auto"/>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spacing w:line="360" w:lineRule="auto"/>
        <w:rPr>
          <w:rFonts w:ascii="宋体" w:hAnsi="宋体" w:eastAsia="宋体" w:cs="宋体"/>
          <w:bCs/>
          <w:color w:val="auto"/>
          <w:sz w:val="28"/>
          <w:szCs w:val="28"/>
          <w:highlight w:val="none"/>
        </w:rPr>
        <w:outlineLvl w:val="0"/>
      </w:pPr>
      <w:r/>
      <w:bookmarkStart w:id="157" w:name="报价方关于资格的声明函（格式）"/>
      <w:r/>
      <w:bookmarkEnd w:id="157"/>
      <w:r>
        <w:rPr>
          <w:rFonts w:hint="eastAsia" w:ascii="宋体" w:hAnsi="宋体" w:eastAsia="宋体" w:cs="宋体"/>
          <w:bCs/>
          <w:color w:val="auto"/>
          <w:sz w:val="28"/>
          <w:szCs w:val="28"/>
          <w:highlight w:val="none"/>
        </w:rPr>
        <w:t xml:space="preserve">资格声明函</w:t>
      </w:r>
      <w:r/>
    </w:p>
    <w:p>
      <w:pPr>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无锡星瀚工程咨询管理有限公司：</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（项目编号）进行投标，并做如下声明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2.本公司（单位）具备本次项目履行合同所必需的设备和专业技术能力。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无被“信用中国”网站（www.creditchina.gov.cn）、中国政府采购网（www.ccgp.gov.cn）列入失信被执行人、重大税收违法案件主体名单、政府采购严重失信行为记录名单及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560"/>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2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能进行中、小、微型企业认定。</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spacing w:line="360" w:lineRule="auto"/>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致无锡星瀚工程咨询管理有限公司：</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（项目编号）招标文件，经仔细阅读和研究，我方决定参加此项目的投标。</w:t>
      </w:r>
      <w:r/>
    </w:p>
    <w:p>
      <w:pPr>
        <w:numPr>
          <w:ilvl w:val="0"/>
          <w:numId w:val="10"/>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417"/>
          <w:bCs/>
          <w:color w:val="auto"/>
          <w:highlight w:val="none"/>
        </w:rPr>
      </w:pPr>
      <w:r>
        <w:rPr>
          <w:rFonts w:hint="eastAsia" w:ascii="宋体" w:hAnsi="宋体" w:eastAsia="宋体" w:cs="宋体"/>
          <w:bCs/>
          <w:color w:val="auto"/>
          <w:sz w:val="24"/>
          <w:szCs w:val="24"/>
          <w:highlight w:val="none"/>
        </w:rPr>
        <w:t xml:space="preserve">我方愿意提供无锡星瀚工程咨询管理有限公司在招标文件中要求的文件、资料。</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            邮编：</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名称）针对本项目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（项目编号）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1．本公司（单位）对本项目提供符合招标要求的产品和服务；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本公司未被“信用中国”网站（www.creditchina.gov.cn）列入失信执行人、重大税收违法案件主体名单、政府采购严重违法失信行为记录名单。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3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49"/>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八、开标一览表（参考格式，以“苏采云”系统中给定格式为准）：</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jc w:val="cente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1040"/>
        <w:tblW w:w="9639"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1"/>
        <w:gridCol w:w="3458"/>
      </w:tblGrid>
      <w:tr>
        <w:trPr>
          <w:cantSplit/>
          <w:trHeight w:val="600"/>
        </w:trPr>
        <w:tc>
          <w:tcPr>
            <w:tcW w:w="6181"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3458"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投标总报价（小写）</w:t>
            </w:r>
            <w:r/>
          </w:p>
        </w:tc>
      </w:tr>
      <w:tr>
        <w:trPr>
          <w:cantSplit/>
          <w:trHeight w:val="1707"/>
        </w:trPr>
        <w:tc>
          <w:tcPr>
            <w:tcW w:w="6181" w:type="dxa"/>
            <w:vAlign w:val="center"/>
            <w:textDirection w:val="lrTb"/>
            <w:noWrap w:val="false"/>
          </w:tcPr>
          <w:p>
            <w:pPr>
              <w:pStyle w:val="1176"/>
              <w:jc w:val="center"/>
              <w:spacing w:line="360" w:lineRule="auto"/>
              <w:rPr>
                <w:rFonts w:hAnsi="宋体" w:cs="宋体"/>
                <w:bCs/>
                <w:color w:val="auto"/>
                <w:szCs w:val="24"/>
                <w:highlight w:val="none"/>
              </w:rPr>
            </w:pPr>
            <w:r>
              <w:rPr>
                <w:rFonts w:hAnsi="宋体" w:cs="宋体"/>
                <w:bCs/>
                <w:color w:val="auto"/>
                <w:szCs w:val="24"/>
                <w:highlight w:val="none"/>
              </w:rPr>
            </w:r>
            <w:r/>
          </w:p>
        </w:tc>
        <w:tc>
          <w:tcPr>
            <w:tcW w:w="3458" w:type="dxa"/>
            <w:vAlign w:val="center"/>
            <w:textDirection w:val="lrTb"/>
            <w:noWrap w:val="false"/>
          </w:tcPr>
          <w:p>
            <w:pPr>
              <w:pStyle w:val="1176"/>
              <w:spacing w:line="360" w:lineRule="auto"/>
              <w:rPr>
                <w:rFonts w:hAnsi="宋体" w:cs="宋体"/>
                <w:b/>
                <w:color w:val="auto"/>
                <w:szCs w:val="24"/>
                <w:highlight w:val="none"/>
              </w:rPr>
            </w:pPr>
            <w:r>
              <w:rPr>
                <w:rFonts w:hAnsi="宋体" w:cs="宋体"/>
                <w:b/>
                <w:color w:val="auto"/>
                <w:szCs w:val="24"/>
                <w:highlight w:val="none"/>
              </w:rPr>
            </w:r>
            <w:r/>
          </w:p>
        </w:tc>
      </w:tr>
      <w:tr>
        <w:trPr>
          <w:cantSplit/>
          <w:trHeight w:val="833"/>
        </w:trPr>
        <w:tc>
          <w:tcPr>
            <w:gridSpan w:val="2"/>
            <w:tcW w:w="9639"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投标总报价（大写）</w:t>
            </w:r>
            <w:r>
              <w:rPr>
                <w:rFonts w:hint="eastAsia" w:ascii="宋体" w:hAnsi="宋体" w:eastAsia="宋体" w:cs="宋体"/>
                <w:bCs/>
                <w:color w:val="auto"/>
                <w:sz w:val="24"/>
                <w:szCs w:val="24"/>
                <w:highlight w:val="none"/>
              </w:rPr>
              <w:t xml:space="preserve">：　　　</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numPr>
          <w:ilvl w:val="0"/>
          <w:numId w:val="11"/>
        </w:numPr>
        <w:spacing w:line="360" w:lineRule="auto"/>
        <w:rPr>
          <w:rFonts w:ascii="宋体" w:hAnsi="宋体" w:eastAsia="宋体" w:cs="宋体"/>
          <w:b/>
          <w:color w:val="auto"/>
          <w:sz w:val="28"/>
          <w:szCs w:val="28"/>
          <w:highlight w:val="none"/>
        </w:rPr>
        <w:sectPr>
          <w:headerReference w:type="default" r:id="rId10"/>
          <w:headerReference w:type="first" r:id="rId11"/>
          <w:footerReference w:type="default" r:id="rId19"/>
          <w:footerReference w:type="first" r:id="rId20"/>
          <w:footnotePr/>
          <w:endnotePr/>
          <w:type w:val="nextPage"/>
          <w:pgSz w:w="11906" w:h="16838" w:orient="portrait"/>
          <w:pgMar w:top="850" w:right="851" w:bottom="850" w:left="850" w:header="624" w:footer="907" w:gutter="0"/>
          <w:cols w:num="1" w:sep="0" w:space="0" w:equalWidth="1"/>
          <w:docGrid w:linePitch="360"/>
          <w:titlePg/>
        </w:sectPr>
      </w:pPr>
      <w:r>
        <w:rPr>
          <w:rFonts w:ascii="宋体" w:hAnsi="宋体" w:eastAsia="宋体" w:cs="宋体"/>
          <w:b/>
          <w:color w:val="auto"/>
          <w:sz w:val="28"/>
          <w:szCs w:val="28"/>
          <w:highlight w:val="none"/>
        </w:rPr>
      </w:r>
      <w:r/>
    </w:p>
    <w:p>
      <w:pPr>
        <w:numPr>
          <w:ilvl w:val="0"/>
          <w:numId w:val="11"/>
        </w:num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分项报价表（给定格式）：</w:t>
      </w:r>
      <w:bookmarkStart w:id="158" w:name="_Toc120614284"/>
      <w:r/>
      <w:r/>
    </w:p>
    <w:p>
      <w:pPr>
        <w:jc w:val="center"/>
        <w:spacing w:line="360" w:lineRule="auto"/>
        <w:rPr>
          <w:rFonts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分项报价表</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                              政府采购编号： </w:t>
      </w:r>
      <w:r/>
    </w:p>
    <w:tbl>
      <w:tblPr>
        <w:tblStyle w:val="1040"/>
        <w:tblpPr w:horzAnchor="page" w:tblpX="1098" w:vertAnchor="text" w:tblpY="556"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7"/>
        <w:gridCol w:w="75"/>
        <w:gridCol w:w="2025"/>
        <w:gridCol w:w="1473"/>
        <w:gridCol w:w="1080"/>
        <w:gridCol w:w="2160"/>
        <w:gridCol w:w="1937"/>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937"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937"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937"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937"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660"/>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497"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服务期： </w:t>
            </w:r>
            <w:r/>
          </w:p>
        </w:tc>
      </w:tr>
      <w:tr>
        <w:trPr>
          <w:trHeight w:val="9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497"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总报价：大写：                                   小写：</w:t>
            </w:r>
            <w:r/>
          </w:p>
        </w:tc>
      </w:tr>
      <w:tr>
        <w:trPr>
          <w:trHeight w:val="315"/>
        </w:trPr>
        <w:tc>
          <w:tcPr>
            <w:gridSpan w:val="2"/>
            <w:tcBorders>
              <w:top w:val="none" w:color="000000" w:sz="4" w:space="0"/>
              <w:left w:val="single" w:color="000000" w:sz="8" w:space="0"/>
              <w:right w:val="single" w:color="000000" w:sz="8" w:space="0"/>
            </w:tcBorders>
            <w:tcMar>
              <w:left w:w="15" w:type="dxa"/>
              <w:top w:w="15" w:type="dxa"/>
              <w:right w:w="15" w:type="dxa"/>
            </w:tcMar>
            <w:tcW w:w="822" w:type="dxa"/>
            <w:vAlign w:val="center"/>
            <w:vMerge w:val="restart"/>
            <w:textDirection w:val="lrTb"/>
            <w:noWrap w:val="false"/>
          </w:tcPr>
          <w:p>
            <w:pPr>
              <w:jc w:val="center"/>
              <w:widowControl/>
              <w:rPr>
                <w:rFonts w:ascii="宋体" w:hAnsi="宋体" w:cs="宋体"/>
                <w:bCs/>
                <w:color w:val="auto"/>
                <w:highlight w:val="none"/>
              </w:rPr>
            </w:pPr>
            <w:r>
              <w:rPr>
                <w:rFonts w:hint="eastAsia" w:ascii="宋体" w:hAnsi="宋体" w:cs="宋体"/>
                <w:bCs/>
                <w:color w:val="auto"/>
                <w:highlight w:val="none"/>
              </w:rPr>
              <w:t xml:space="preserve">服</w:t>
            </w:r>
            <w:r>
              <w:rPr>
                <w:rFonts w:hint="eastAsia" w:ascii="宋体" w:hAnsi="宋体" w:cs="宋体"/>
                <w:bCs/>
                <w:color w:val="auto"/>
                <w:highlight w:val="none"/>
              </w:rPr>
              <w:br/>
            </w:r>
            <w:r>
              <w:rPr>
                <w:rFonts w:hint="eastAsia" w:ascii="宋体" w:hAnsi="宋体" w:cs="宋体"/>
                <w:bCs/>
                <w:color w:val="auto"/>
                <w:highlight w:val="none"/>
              </w:rPr>
              <w:t xml:space="preserve">务</w:t>
            </w:r>
            <w:r>
              <w:rPr>
                <w:rFonts w:hint="eastAsia" w:ascii="宋体" w:hAnsi="宋体" w:cs="宋体"/>
                <w:bCs/>
                <w:color w:val="auto"/>
                <w:highlight w:val="none"/>
              </w:rPr>
              <w:br/>
            </w:r>
            <w:r>
              <w:rPr>
                <w:rFonts w:hint="eastAsia" w:ascii="宋体" w:hAnsi="宋体" w:cs="宋体"/>
                <w:bCs/>
                <w:color w:val="auto"/>
                <w:highlight w:val="none"/>
              </w:rPr>
              <w:t xml:space="preserve">承</w:t>
            </w:r>
            <w:r>
              <w:rPr>
                <w:rFonts w:hint="eastAsia" w:ascii="宋体" w:hAnsi="宋体" w:cs="宋体"/>
                <w:bCs/>
                <w:color w:val="auto"/>
                <w:highlight w:val="none"/>
              </w:rPr>
              <w:br/>
            </w:r>
            <w:r>
              <w:rPr>
                <w:rFonts w:hint="eastAsia" w:ascii="宋体" w:hAnsi="宋体" w:cs="宋体"/>
                <w:bCs/>
                <w:color w:val="auto"/>
                <w:highlight w:val="none"/>
              </w:rPr>
              <w:t xml:space="preserve">诺</w:t>
            </w:r>
            <w:r/>
          </w:p>
        </w:tc>
        <w:tc>
          <w:tcPr>
            <w:gridSpan w:val="5"/>
            <w:tcBorders>
              <w:top w:val="single" w:color="000000" w:sz="8" w:space="0"/>
              <w:left w:val="none" w:color="000000" w:sz="4" w:space="0"/>
              <w:bottom w:val="single" w:color="000000" w:sz="8" w:space="0"/>
              <w:right w:val="single" w:color="000000" w:sz="8" w:space="0"/>
            </w:tcBorders>
            <w:tcMar>
              <w:left w:w="15" w:type="dxa"/>
              <w:top w:w="15" w:type="dxa"/>
              <w:right w:w="15" w:type="dxa"/>
            </w:tcMar>
            <w:tcW w:w="8675" w:type="dxa"/>
            <w:vAlign w:val="center"/>
            <w:textDirection w:val="lrTb"/>
            <w:noWrap w:val="false"/>
          </w:tcPr>
          <w:p>
            <w:pPr>
              <w:jc w:val="left"/>
              <w:widowControl/>
              <w:rPr>
                <w:rFonts w:ascii="宋体" w:hAnsi="宋体" w:cs="宋体"/>
                <w:bCs/>
                <w:color w:val="auto"/>
                <w:highlight w:val="none"/>
              </w:rPr>
            </w:pPr>
            <w:r>
              <w:rPr>
                <w:rFonts w:hint="eastAsia" w:ascii="宋体" w:hAnsi="宋体" w:cs="宋体"/>
                <w:bCs/>
                <w:color w:val="auto"/>
                <w:highlight w:val="none"/>
              </w:rPr>
              <w:t xml:space="preserve">1. 质量 2.安装 3."三包"(包修、包退、包换)4.其他承诺</w:t>
            </w:r>
            <w:r>
              <w:rPr>
                <w:rFonts w:hint="eastAsia" w:ascii="宋体" w:hAnsi="宋体" w:cs="宋体"/>
                <w:bCs/>
                <w:color w:val="auto"/>
                <w:highlight w:val="none"/>
              </w:rPr>
              <w:br/>
            </w:r>
            <w:r>
              <w:rPr>
                <w:rFonts w:hint="eastAsia" w:ascii="宋体" w:hAnsi="宋体" w:cs="宋体"/>
                <w:bCs/>
                <w:color w:val="auto"/>
                <w:highlight w:val="none"/>
              </w:rPr>
              <w:t xml:space="preserve">（以上是主要承诺，供报价供应商参考，报价供应商应在满足招标文件要求的基础上，根据自己单位的情况作出具体承诺）</w:t>
            </w:r>
            <w:r/>
          </w:p>
        </w:tc>
      </w:tr>
      <w:tr>
        <w:trPr>
          <w:trHeight w:val="1525"/>
        </w:trPr>
        <w:tc>
          <w:tcPr>
            <w:gridSpan w:val="2"/>
            <w:tcBorders>
              <w:left w:val="single" w:color="000000" w:sz="8" w:space="0"/>
              <w:bottom w:val="single" w:color="000000" w:sz="8" w:space="0"/>
              <w:right w:val="single" w:color="000000" w:sz="8" w:space="0"/>
            </w:tcBorders>
            <w:tcMar>
              <w:left w:w="15" w:type="dxa"/>
              <w:top w:w="15" w:type="dxa"/>
              <w:right w:w="15" w:type="dxa"/>
            </w:tcMar>
            <w:tcW w:w="822" w:type="dxa"/>
            <w:vAlign w:val="center"/>
            <w:vMerge w:val="continue"/>
            <w:textDirection w:val="lrTb"/>
            <w:noWrap w:val="false"/>
          </w:tcPr>
          <w:p>
            <w:pPr>
              <w:rPr>
                <w:rFonts w:ascii="宋体" w:hAnsi="宋体" w:cs="宋体"/>
                <w:bCs/>
                <w:color w:val="auto"/>
                <w:highlight w:val="none"/>
              </w:rPr>
            </w:pPr>
            <w:r>
              <w:rPr>
                <w:rFonts w:ascii="宋体" w:hAnsi="宋体" w:cs="宋体"/>
                <w:bCs/>
                <w:color w:val="auto"/>
                <w:highlight w:val="none"/>
              </w:rPr>
            </w:r>
            <w:r/>
          </w:p>
        </w:tc>
        <w:tc>
          <w:tcPr>
            <w:gridSpan w:val="5"/>
            <w:tcBorders>
              <w:top w:val="single" w:color="000000" w:sz="8" w:space="0"/>
              <w:left w:val="none" w:color="000000" w:sz="4" w:space="0"/>
              <w:bottom w:val="single" w:color="000000" w:sz="8" w:space="0"/>
              <w:right w:val="single" w:color="000000" w:sz="8" w:space="0"/>
            </w:tcBorders>
            <w:tcMar>
              <w:left w:w="15" w:type="dxa"/>
              <w:top w:w="15" w:type="dxa"/>
              <w:right w:w="15" w:type="dxa"/>
            </w:tcMar>
            <w:tcW w:w="8675" w:type="dxa"/>
            <w:vAlign w:val="center"/>
            <w:textDirection w:val="lrTb"/>
            <w:noWrap w:val="false"/>
          </w:tcPr>
          <w:p>
            <w:pPr>
              <w:rPr>
                <w:bCs/>
                <w:color w:val="auto"/>
                <w:highlight w:val="none"/>
              </w:rPr>
            </w:pPr>
            <w:r>
              <w:rPr>
                <w:bCs/>
                <w:color w:val="auto"/>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pStyle w:val="1110"/>
        <w:ind w:firstLine="0"/>
        <w:rPr>
          <w:rFonts w:ascii="Tahoma" w:hAnsi="Tahoma"/>
          <w:color w:val="auto"/>
          <w:sz w:val="24"/>
          <w:highlight w:val="none"/>
          <w:lang w:val="en-US"/>
        </w:rPr>
      </w:pPr>
      <w:r>
        <w:rPr>
          <w:rFonts w:ascii="Tahoma" w:hAnsi="Tahoma"/>
          <w:color w:val="auto"/>
          <w:sz w:val="24"/>
          <w:highlight w:val="none"/>
          <w:lang w:val="en-US"/>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注：(1)上述报价表由投标单位参照，不限于此，可根据采购需求自行添加条目进行投报。</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(2)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jc w:val="center"/>
        <w:spacing w:line="360" w:lineRule="auto"/>
        <w:rPr>
          <w:rFonts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8"/>
          <w:szCs w:val="28"/>
          <w:highlight w:val="none"/>
        </w:rPr>
      </w:r>
      <w:r/>
    </w:p>
    <w:p>
      <w:pPr>
        <w:spacing w:line="360" w:lineRule="auto"/>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90"/>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104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sz w:val="30"/>
          <w:highlight w:val="none"/>
        </w:rPr>
      </w:pPr>
      <w:r>
        <w:rPr>
          <w:rFonts w:ascii="宋体" w:hAnsi="宋体" w:eastAsia="宋体" w:cs="宋体"/>
          <w:bCs/>
          <w:color w:val="auto"/>
          <w:sz w:val="30"/>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960"/>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（2）如无任何技术偏离，请于本表 “偏离说明”中注明“无偏离”；</w:t>
      </w:r>
      <w:r/>
    </w:p>
    <w:p>
      <w:pPr>
        <w:ind w:firstLine="420"/>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bookmarkEnd w:id="158"/>
      <w:r/>
      <w:bookmarkStart w:id="159" w:name="_Hlt26609389"/>
      <w:r/>
      <w:bookmarkEnd w:id="159"/>
      <w:r/>
      <w:bookmarkStart w:id="160" w:name="_Hlt26955066"/>
      <w:r/>
      <w:bookmarkEnd w:id="160"/>
      <w:r/>
      <w:bookmarkStart w:id="161" w:name="_Hlt26671374"/>
      <w:r/>
      <w:bookmarkEnd w:id="161"/>
      <w:r/>
      <w:bookmarkStart w:id="162" w:name="_格式2__法定代表人授权书"/>
      <w:r/>
      <w:bookmarkEnd w:id="162"/>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spacing w:line="360" w:lineRule="auto"/>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十一、项目作业人员配备表（格式）</w:t>
      </w:r>
      <w:r/>
    </w:p>
    <w:p>
      <w:pPr>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项目作业人员配备表</w:t>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                              政府采购编号： </w:t>
      </w:r>
      <w:r/>
    </w:p>
    <w:tbl>
      <w:tblPr>
        <w:tblStyle w:val="1040"/>
        <w:tblpPr w:horzAnchor="page" w:tblpX="1381" w:vertAnchor="text" w:tblpY="537" w:leftFromText="180" w:topFromText="0" w:rightFromText="180" w:bottomFromText="0"/>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050"/>
        <w:gridCol w:w="945"/>
        <w:gridCol w:w="1050"/>
        <w:gridCol w:w="1896"/>
        <w:gridCol w:w="1275"/>
        <w:gridCol w:w="1869"/>
      </w:tblGrid>
      <w:tr>
        <w:trPr>
          <w:cantSplit/>
          <w:trHeight w:val="624"/>
        </w:trPr>
        <w:tc>
          <w:tcPr>
            <w:tcW w:w="1263"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w:t>
            </w:r>
            <w:r/>
          </w:p>
        </w:tc>
        <w:tc>
          <w:tcPr>
            <w:gridSpan w:val="6"/>
            <w:tcW w:w="8085"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按服务内容劳动力投入情况填写</w:t>
            </w:r>
            <w:r/>
          </w:p>
        </w:tc>
      </w:tr>
      <w:tr>
        <w:trPr>
          <w:cantSplit/>
        </w:trPr>
        <w:tc>
          <w:tcPr>
            <w:tcW w:w="1263"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w:t>
            </w:r>
            <w:r/>
          </w:p>
        </w:tc>
        <w:tc>
          <w:tcPr>
            <w:tcW w:w="1050"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岗位</w:t>
            </w:r>
            <w:r/>
          </w:p>
        </w:tc>
        <w:tc>
          <w:tcPr>
            <w:tcW w:w="945"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学历</w:t>
            </w:r>
            <w:r/>
          </w:p>
        </w:tc>
        <w:tc>
          <w:tcPr>
            <w:tcW w:w="1050"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职称</w:t>
            </w:r>
            <w:r/>
          </w:p>
        </w:tc>
        <w:tc>
          <w:tcPr>
            <w:tcW w:w="1896"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专业技术证书</w:t>
            </w:r>
            <w:r/>
          </w:p>
        </w:tc>
        <w:tc>
          <w:tcPr>
            <w:tcW w:w="1275"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工作年限</w:t>
            </w:r>
            <w:r/>
          </w:p>
        </w:tc>
        <w:tc>
          <w:tcPr>
            <w:tcW w:w="1869" w:type="dxa"/>
            <w:vAlign w:val="center"/>
            <w:textDirection w:val="lrTb"/>
            <w:noWrap w:val="false"/>
          </w:tcPr>
          <w:p>
            <w:pPr>
              <w:jc w:val="center"/>
              <w:spacing w:line="47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rHeight w:val="43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61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610"/>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60"/>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9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2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90"/>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460"/>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8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7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65"/>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trHeight w:val="510"/>
        </w:trPr>
        <w:tc>
          <w:tcPr>
            <w:tcW w:w="1263"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94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050"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96"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275"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1869" w:type="dxa"/>
            <w:vAlign w:val="center"/>
            <w:textDirection w:val="lrTb"/>
            <w:noWrap w:val="false"/>
          </w:tcPr>
          <w:p>
            <w:pPr>
              <w:jc w:val="center"/>
              <w:spacing w:before="120" w:line="47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bl>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注：1.本表对应采购需求和评分标准中的项目人员配置情况，表格不够可自行延长。</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2.进场作业时，采购人有权对投标人所提供的人员信息进行核查。</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3.上表内容须按采购需求和评分标准中的相关要求提供相应证明材料。</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4.证明材料均请附在本表之后。</w:t>
      </w:r>
      <w:r/>
    </w:p>
    <w:p>
      <w:pPr>
        <w:ind w:firstLine="420"/>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ind w:firstLine="420"/>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十二、供应商车辆/设备配备表（格式）</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供应商车辆/设备配备表</w:t>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                              政府采购编号： </w:t>
      </w:r>
      <w:r/>
    </w:p>
    <w:p>
      <w:pPr>
        <w:rPr>
          <w:rFonts w:ascii="宋体" w:hAnsi="宋体" w:eastAsia="宋体" w:cs="宋体"/>
          <w:color w:val="auto"/>
          <w:highlight w:val="none"/>
        </w:rPr>
      </w:pPr>
      <w:r>
        <w:rPr>
          <w:rFonts w:ascii="宋体" w:hAnsi="宋体" w:eastAsia="宋体" w:cs="宋体"/>
          <w:color w:val="auto"/>
          <w:highlight w:val="none"/>
        </w:rPr>
      </w:r>
      <w:r/>
    </w:p>
    <w:tbl>
      <w:tblPr>
        <w:tblStyle w:val="104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921"/>
        <w:gridCol w:w="2321"/>
        <w:gridCol w:w="3897"/>
        <w:gridCol w:w="1140"/>
      </w:tblGrid>
      <w:tr>
        <w:trPr>
          <w:trHeight w:val="703" w:hRule="exact"/>
        </w:trPr>
        <w:tc>
          <w:tcPr>
            <w:tcW w:w="545" w:type="pct"/>
            <w:vAlign w:val="center"/>
            <w:textDirection w:val="lrTb"/>
            <w:noWrap w:val="false"/>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922" w:type="pct"/>
            <w:vAlign w:val="center"/>
            <w:textDirection w:val="lrTb"/>
            <w:noWrap w:val="false"/>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车辆/设备名称</w:t>
            </w:r>
            <w:r/>
          </w:p>
        </w:tc>
        <w:tc>
          <w:tcPr>
            <w:tcW w:w="1114" w:type="pct"/>
            <w:vAlign w:val="center"/>
            <w:textDirection w:val="lrTb"/>
            <w:noWrap w:val="false"/>
          </w:tcPr>
          <w:p>
            <w:pPr>
              <w:jc w:val="center"/>
              <w:spacing w:line="360" w:lineRule="auto"/>
              <w:rPr>
                <w:rFonts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自有或租赁</w:t>
            </w:r>
            <w:r/>
          </w:p>
        </w:tc>
        <w:tc>
          <w:tcPr>
            <w:tcW w:w="1870" w:type="pct"/>
            <w:vAlign w:val="center"/>
            <w:textDirection w:val="lrTb"/>
            <w:noWrap w:val="false"/>
          </w:tcPr>
          <w:p>
            <w:pPr>
              <w:jc w:val="center"/>
              <w:spacing w:line="360" w:lineRule="auto"/>
              <w:rPr>
                <w:rFonts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购入年份或租赁期限</w:t>
            </w:r>
            <w:r/>
          </w:p>
        </w:tc>
        <w:tc>
          <w:tcPr>
            <w:tcW w:w="547" w:type="pct"/>
            <w:vAlign w:val="center"/>
            <w:textDirection w:val="lrTb"/>
            <w:noWrap w:val="false"/>
          </w:tcPr>
          <w:p>
            <w:pPr>
              <w:jc w:val="center"/>
              <w:spacing w:line="360" w:lineRule="auto"/>
              <w:rPr>
                <w:rFonts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备注</w:t>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ind w:firstLine="120"/>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922"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114"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870"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547" w:type="pct"/>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pStyle w:val="1042"/>
        <w:jc w:val="right"/>
        <w:spacing w:line="360" w:lineRule="auto"/>
        <w:rPr>
          <w:rFonts w:hAnsi="宋体" w:cs="宋体"/>
          <w:color w:val="auto"/>
          <w:sz w:val="24"/>
          <w:szCs w:val="24"/>
          <w:highlight w:val="none"/>
        </w:rPr>
      </w:pPr>
      <w:r>
        <w:rPr>
          <w:rFonts w:hAnsi="宋体" w:cs="宋体"/>
          <w:color w:val="auto"/>
          <w:sz w:val="24"/>
          <w:szCs w:val="24"/>
          <w:highlight w:val="none"/>
        </w:rPr>
      </w:r>
      <w:r/>
    </w:p>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备注：表格不够可自行扩展。</w:t>
      </w:r>
      <w:r/>
    </w:p>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rPr>
          <w:rFonts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日期：     年     月     日</w:t>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注：1.本表对应采购需求和评分标准中的设备或车辆配置情况，表格不够可自行延长。</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2.进场作业时，采购人有权对投标人所提供的设备或车辆信息进行核查。</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3.上表内容须按采购需求和评分标准中的相关要求提供相应证明材料。</w:t>
      </w:r>
      <w:r/>
    </w:p>
    <w:p>
      <w:pPr>
        <w:ind w:firstLine="420"/>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4.证明材料均请附在本表之后。</w:t>
      </w:r>
      <w:r/>
    </w:p>
    <w:p>
      <w:pPr>
        <w:ind w:firstLine="420"/>
        <w:spacing w:line="360" w:lineRule="auto"/>
        <w:rPr>
          <w:rFonts w:ascii="宋体" w:hAnsi="宋体" w:eastAsia="宋体" w:cs="宋体"/>
          <w:bCs/>
          <w:color w:val="auto"/>
          <w:highlight w:val="none"/>
        </w:rPr>
      </w:pPr>
      <w:r>
        <w:rPr>
          <w:rFonts w:hint="eastAsia" w:ascii="宋体" w:hAnsi="宋体" w:eastAsia="宋体" w:cs="宋体"/>
          <w:b/>
          <w:bCs/>
          <w:color w:val="auto"/>
          <w:sz w:val="30"/>
          <w:szCs w:val="30"/>
          <w:highlight w:val="none"/>
        </w:rPr>
        <w:br w:type="page" w:clear="all"/>
      </w:r>
      <w:r/>
    </w:p>
    <w:p>
      <w:pPr>
        <w:spacing w:line="360" w:lineRule="auto"/>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十三、技术标文件（格式自拟）</w:t>
      </w:r>
      <w:r/>
    </w:p>
    <w:p>
      <w:pPr>
        <w:ind w:firstLine="420"/>
        <w:spacing w:line="360" w:lineRule="auto"/>
        <w:rPr>
          <w:rFonts w:ascii="宋体" w:hAnsi="宋体" w:eastAsia="宋体" w:cs="宋体"/>
          <w:bCs/>
          <w:color w:val="auto"/>
          <w:highlight w:val="none"/>
        </w:rPr>
      </w:pPr>
      <w:r>
        <w:rPr>
          <w:rFonts w:ascii="宋体" w:hAnsi="宋体" w:eastAsia="宋体" w:cs="宋体"/>
          <w:bCs/>
          <w:color w:val="auto"/>
          <w:highlight w:val="none"/>
        </w:rPr>
      </w:r>
      <w:r/>
    </w:p>
    <w:sectPr>
      <w:footnotePr/>
      <w:endnotePr/>
      <w:type w:val="nextPage"/>
      <w:pgSz w:w="11906" w:h="16838" w:orient="portrait"/>
      <w:pgMar w:top="850" w:right="851" w:bottom="850" w:left="850"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80"/>
      </w:rPr>
      <w:framePr w:wrap="around" w:vAnchor="text" w:hAnchor="margin" w:xAlign="center" w:y="1"/>
    </w:pPr>
    <w:r>
      <w:rPr>
        <w:rStyle w:val="1080"/>
      </w:rPr>
      <w:fldChar w:fldCharType="begin"/>
    </w:r>
    <w:r>
      <w:rPr>
        <w:rStyle w:val="1080"/>
      </w:rPr>
      <w:instrText xml:space="preserve">PAGE  </w:instrText>
    </w:r>
    <w:r>
      <w:rPr>
        <w:rStyle w:val="1080"/>
      </w:rPr>
      <w:fldChar w:fldCharType="separate"/>
    </w:r>
    <w:r>
      <w:rPr>
        <w:rStyle w:val="1080"/>
      </w:rPr>
      <w:t xml:space="preserve">1</w:t>
    </w:r>
    <w:r>
      <w:rPr>
        <w:rStyle w:val="1080"/>
      </w:rPr>
      <w:fldChar w:fldCharType="end"/>
    </w:r>
    <w:r/>
  </w:p>
  <w:p>
    <w:pPr>
      <w:pStyle w:val="105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fldChar w:fldCharType="begin"/>
                    </w:r>
                    <w:r>
                      <w:instrText xml:space="preserve"> PAGE  \* MERGEFORMAT </w:instrText>
                    </w:r>
                    <w:r>
                      <w:fldChar w:fldCharType="separate"/>
                    </w:r>
                    <w:r>
                      <w:t xml:space="preserve">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5143"/>
                            <w:rPr/>
                          </w:sdtPr>
                          <w:sdtContent>
                            <w:p>
                              <w:pPr>
                                <w:pStyle w:val="1059"/>
                              </w:pPr>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5143"/>
                      <w:rPr/>
                    </w:sdtPr>
                    <w:sdtContent>
                      <w:p>
                        <w:pPr>
                          <w:pStyle w:val="1059"/>
                        </w:pPr>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2195"/>
                            <w:rPr/>
                          </w:sdtPr>
                          <w:sdtContent>
                            <w:p>
                              <w:pPr>
                                <w:pStyle w:val="1059"/>
                              </w:pPr>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195"/>
                      <w:rPr/>
                    </w:sdtPr>
                    <w:sdtContent>
                      <w:p>
                        <w:pPr>
                          <w:pStyle w:val="1059"/>
                        </w:pPr>
                        <w:r/>
                        <w:r/>
                      </w:p>
                    </w:sdtContent>
                  </w:sdt>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347"/>
                            <w:rPr/>
                          </w:sdtPr>
                          <w:sdtContent>
                            <w:p>
                              <w:pPr>
                                <w:pStyle w:val="1059"/>
                              </w:pPr>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347"/>
                      <w:rPr/>
                    </w:sdtPr>
                    <w:sdtContent>
                      <w:p>
                        <w:pPr>
                          <w:pStyle w:val="1059"/>
                        </w:pPr>
                        <w:r/>
                        <w:r/>
                      </w:p>
                    </w:sdtContent>
                  </w:sdt>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4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4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1182"/>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1034"/>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57"/>
      <w:isLgl w:val="false"/>
      <w:suff w:val="nothing"/>
      <w:lvlText w:val=""/>
      <w:lvlJc w:val="left"/>
      <w:pPr>
        <w:ind w:left="0" w:firstLine="0"/>
      </w:pPr>
      <w:rPr>
        <w:rFonts w:hint="eastAsia"/>
      </w:rPr>
    </w:lvl>
    <w:lvl w:ilvl="6">
      <w:start w:val="1"/>
      <w:numFmt w:val="decimal"/>
      <w:pStyle w:val="1359"/>
      <w:isLgl w:val="false"/>
      <w:suff w:val="nothing"/>
      <w:lvlText w:val=""/>
      <w:lvlJc w:val="left"/>
      <w:pPr>
        <w:ind w:left="0" w:firstLine="0"/>
      </w:pPr>
      <w:rPr>
        <w:rFonts w:hint="eastAsia"/>
      </w:rPr>
    </w:lvl>
    <w:lvl w:ilvl="7">
      <w:start w:val="1"/>
      <w:numFmt w:val="decimal"/>
      <w:pStyle w:val="1361"/>
      <w:isLgl w:val="false"/>
      <w:suff w:val="nothing"/>
      <w:lvlText w:val=""/>
      <w:lvlJc w:val="left"/>
      <w:pPr>
        <w:ind w:left="0" w:firstLine="0"/>
      </w:pPr>
      <w:rPr>
        <w:rFonts w:hint="eastAsia"/>
      </w:rPr>
    </w:lvl>
    <w:lvl w:ilvl="8">
      <w:start w:val="1"/>
      <w:numFmt w:val="decimal"/>
      <w:pStyle w:val="136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3"/>
  </w:num>
  <w:num w:numId="5">
    <w:abstractNumId w:val="1"/>
  </w:num>
  <w:num w:numId="6">
    <w:abstractNumId w:val="2"/>
  </w:num>
  <w:num w:numId="7">
    <w:abstractNumId w:val="5"/>
  </w:num>
  <w:num w:numId="8">
    <w:abstractNumId w:val="10"/>
  </w:num>
  <w:num w:numId="9">
    <w:abstractNumId w:val="6"/>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09">
    <w:name w:val="Plain Table 1"/>
    <w:basedOn w:val="10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name w:val="Plain Table 2"/>
    <w:basedOn w:val="10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3"/>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name w:val="Plain Table 4"/>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name w:val="Plain Table 5"/>
    <w:basedOn w:val="10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4">
    <w:name w:val="Grid Table 1 Light"/>
    <w:basedOn w:val="10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5">
    <w:name w:val="Grid Table 2"/>
    <w:basedOn w:val="10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6">
    <w:name w:val="Grid Table 3"/>
    <w:basedOn w:val="10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basedOn w:val="10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5 Dark"/>
    <w:basedOn w:val="10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6 Colorful"/>
    <w:basedOn w:val="10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7 Colorful"/>
    <w:basedOn w:val="10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1">
    <w:name w:val="List Table 1 Light"/>
    <w:basedOn w:val="10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2"/>
    <w:basedOn w:val="10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3"/>
    <w:basedOn w:val="10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w:basedOn w:val="10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5 Dark"/>
    <w:basedOn w:val="10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7 Colorful"/>
    <w:basedOn w:val="10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28">
    <w:name w:val="TOC Heading"/>
    <w:uiPriority w:val="39"/>
    <w:unhideWhenUsed/>
  </w:style>
  <w:style w:type="paragraph" w:styleId="102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030">
    <w:name w:val="Heading 1"/>
    <w:basedOn w:val="1029"/>
    <w:next w:val="1029"/>
    <w:link w:val="1112"/>
    <w:uiPriority w:val="9"/>
    <w:qFormat/>
    <w:pPr>
      <w:jc w:val="center"/>
      <w:keepNext/>
      <w:outlineLvl w:val="0"/>
    </w:pPr>
    <w:rPr>
      <w:rFonts w:ascii="楷体_GB2312" w:hAnsi="Times New Roman" w:eastAsia="楷体_GB2312" w:cs="Times New Roman"/>
      <w:b/>
      <w:sz w:val="28"/>
      <w:szCs w:val="20"/>
    </w:rPr>
  </w:style>
  <w:style w:type="paragraph" w:styleId="1031">
    <w:name w:val="Heading 2"/>
    <w:basedOn w:val="1029"/>
    <w:next w:val="1029"/>
    <w:link w:val="1113"/>
    <w:uiPriority w:val="9"/>
    <w:qFormat/>
    <w:pPr>
      <w:jc w:val="center"/>
      <w:keepNext/>
      <w:outlineLvl w:val="1"/>
    </w:pPr>
    <w:rPr>
      <w:rFonts w:ascii="楷体_GB2312" w:hAnsi="Times New Roman" w:eastAsia="楷体_GB2312" w:cs="Times New Roman"/>
      <w:b/>
      <w:bCs/>
      <w:sz w:val="18"/>
      <w:szCs w:val="20"/>
    </w:rPr>
  </w:style>
  <w:style w:type="paragraph" w:styleId="1032">
    <w:name w:val="Heading 3"/>
    <w:basedOn w:val="1029"/>
    <w:next w:val="1041"/>
    <w:link w:val="1114"/>
    <w:uiPriority w:val="9"/>
    <w:qFormat/>
    <w:pPr>
      <w:jc w:val="left"/>
      <w:keepNext/>
      <w:outlineLvl w:val="2"/>
    </w:pPr>
    <w:rPr>
      <w:rFonts w:asciiTheme="minorEastAsia" w:hAnsiTheme="minorEastAsia"/>
      <w:bCs/>
      <w:sz w:val="24"/>
      <w:szCs w:val="24"/>
    </w:rPr>
  </w:style>
  <w:style w:type="paragraph" w:styleId="1033">
    <w:name w:val="Heading 4"/>
    <w:basedOn w:val="1029"/>
    <w:next w:val="1042"/>
    <w:link w:val="1115"/>
    <w:uiPriority w:val="9"/>
    <w:qFormat/>
    <w:pPr>
      <w:keepNext/>
      <w:outlineLvl w:val="3"/>
    </w:pPr>
    <w:rPr>
      <w:rFonts w:ascii="Times New Roman" w:hAnsi="Times New Roman" w:eastAsia="楷体_GB2312" w:cs="Times New Roman"/>
      <w:b/>
      <w:bCs/>
      <w:sz w:val="15"/>
      <w:szCs w:val="20"/>
    </w:rPr>
  </w:style>
  <w:style w:type="paragraph" w:styleId="1034">
    <w:name w:val="Heading 5"/>
    <w:basedOn w:val="1029"/>
    <w:next w:val="1029"/>
    <w:link w:val="1116"/>
    <w:uiPriority w:val="9"/>
    <w:qFormat/>
    <w:pPr>
      <w:numPr>
        <w:ilvl w:val="0"/>
        <w:numId w:val="1"/>
      </w:numPr>
      <w:keepNext/>
      <w:outlineLvl w:val="4"/>
    </w:pPr>
    <w:rPr>
      <w:rFonts w:ascii="楷体_GB2312" w:hAnsi="Times New Roman" w:eastAsia="楷体_GB2312" w:cs="Times New Roman"/>
      <w:bCs/>
      <w:sz w:val="28"/>
      <w:szCs w:val="20"/>
    </w:rPr>
  </w:style>
  <w:style w:type="paragraph" w:styleId="1035">
    <w:name w:val="Heading 6"/>
    <w:basedOn w:val="1029"/>
    <w:next w:val="1029"/>
    <w:link w:val="1197"/>
    <w:uiPriority w:val="9"/>
    <w:qFormat/>
    <w:pPr>
      <w:keepLines/>
      <w:keepNext/>
      <w:spacing w:before="320" w:after="200"/>
      <w:outlineLvl w:val="5"/>
    </w:pPr>
    <w:rPr>
      <w:rFonts w:ascii="Arial" w:hAnsi="Arial" w:eastAsia="Arial" w:cs="Arial"/>
      <w:b/>
      <w:bCs/>
      <w:sz w:val="22"/>
    </w:rPr>
  </w:style>
  <w:style w:type="paragraph" w:styleId="1036">
    <w:name w:val="Heading 7"/>
    <w:basedOn w:val="1029"/>
    <w:next w:val="1029"/>
    <w:link w:val="1198"/>
    <w:uiPriority w:val="9"/>
    <w:qFormat/>
    <w:pPr>
      <w:keepLines/>
      <w:keepNext/>
      <w:spacing w:before="320" w:after="200"/>
      <w:outlineLvl w:val="6"/>
    </w:pPr>
    <w:rPr>
      <w:rFonts w:ascii="Arial" w:hAnsi="Arial" w:eastAsia="Arial" w:cs="Arial"/>
      <w:b/>
      <w:bCs/>
      <w:i/>
      <w:iCs/>
      <w:sz w:val="22"/>
    </w:rPr>
  </w:style>
  <w:style w:type="paragraph" w:styleId="1037">
    <w:name w:val="Heading 8"/>
    <w:basedOn w:val="1029"/>
    <w:next w:val="1029"/>
    <w:link w:val="1199"/>
    <w:uiPriority w:val="9"/>
    <w:qFormat/>
    <w:pPr>
      <w:keepLines/>
      <w:keepNext/>
      <w:spacing w:before="320" w:after="200"/>
      <w:outlineLvl w:val="7"/>
    </w:pPr>
    <w:rPr>
      <w:rFonts w:ascii="Arial" w:hAnsi="Arial" w:eastAsia="Arial" w:cs="Arial"/>
      <w:i/>
      <w:iCs/>
      <w:sz w:val="22"/>
    </w:rPr>
  </w:style>
  <w:style w:type="paragraph" w:styleId="1038">
    <w:name w:val="Heading 9"/>
    <w:basedOn w:val="1029"/>
    <w:next w:val="1029"/>
    <w:link w:val="1200"/>
    <w:uiPriority w:val="9"/>
    <w:qFormat/>
    <w:pPr>
      <w:keepLines/>
      <w:keepNext/>
      <w:spacing w:before="320" w:after="200"/>
      <w:outlineLvl w:val="8"/>
    </w:pPr>
    <w:rPr>
      <w:rFonts w:ascii="Arial" w:hAnsi="Arial" w:eastAsia="Arial" w:cs="Arial"/>
      <w:i/>
      <w:iCs/>
      <w:szCs w:val="21"/>
    </w:rPr>
  </w:style>
  <w:style w:type="character" w:styleId="1039" w:default="1">
    <w:name w:val="Default Paragraph Font"/>
    <w:uiPriority w:val="1"/>
    <w:semiHidden/>
    <w:unhideWhenUsed/>
    <w:qFormat/>
  </w:style>
  <w:style w:type="table" w:styleId="1040" w:default="1">
    <w:name w:val="Normal Table"/>
    <w:uiPriority w:val="99"/>
    <w:semiHidden/>
    <w:unhideWhenUsed/>
    <w:qFormat/>
    <w:tblPr>
      <w:tblCellMar>
        <w:left w:w="108" w:type="dxa"/>
        <w:top w:w="0" w:type="dxa"/>
        <w:right w:w="108" w:type="dxa"/>
        <w:bottom w:w="0" w:type="dxa"/>
      </w:tblCellMar>
    </w:tblPr>
  </w:style>
  <w:style w:type="paragraph" w:styleId="1041">
    <w:name w:val="Normal Indent"/>
    <w:basedOn w:val="1029"/>
    <w:uiPriority w:val="99"/>
    <w:qFormat/>
    <w:pPr>
      <w:ind w:firstLine="420"/>
    </w:pPr>
    <w:rPr>
      <w:rFonts w:ascii="Times New Roman" w:hAnsi="Times New Roman" w:eastAsia="宋体" w:cs="Times New Roman"/>
      <w:szCs w:val="20"/>
    </w:rPr>
  </w:style>
  <w:style w:type="paragraph" w:styleId="1042">
    <w:name w:val="Plain Text"/>
    <w:basedOn w:val="1029"/>
    <w:next w:val="1043"/>
    <w:uiPriority w:val="0"/>
    <w:qFormat/>
    <w:rPr>
      <w:rFonts w:ascii="宋体" w:hAnsi="Courier New" w:eastAsia="宋体" w:cs="Times New Roman"/>
      <w:szCs w:val="21"/>
    </w:rPr>
  </w:style>
  <w:style w:type="paragraph" w:styleId="1043">
    <w:name w:val="toc 2"/>
    <w:basedOn w:val="1029"/>
    <w:next w:val="1029"/>
    <w:uiPriority w:val="39"/>
    <w:unhideWhenUsed/>
    <w:qFormat/>
    <w:pPr>
      <w:ind w:left="283"/>
      <w:spacing w:after="57"/>
    </w:pPr>
    <w:rPr>
      <w:rFonts w:ascii="Times New Roman" w:hAnsi="Times New Roman" w:eastAsia="宋体" w:cs="Times New Roman"/>
      <w:szCs w:val="21"/>
    </w:rPr>
  </w:style>
  <w:style w:type="paragraph" w:styleId="1044">
    <w:name w:val="toc 7"/>
    <w:basedOn w:val="1029"/>
    <w:next w:val="1029"/>
    <w:uiPriority w:val="39"/>
    <w:unhideWhenUsed/>
    <w:qFormat/>
    <w:pPr>
      <w:ind w:left="1701"/>
      <w:spacing w:after="57"/>
    </w:pPr>
    <w:rPr>
      <w:rFonts w:ascii="Times New Roman" w:hAnsi="Times New Roman" w:eastAsia="宋体" w:cs="Times New Roman"/>
      <w:szCs w:val="21"/>
    </w:rPr>
  </w:style>
  <w:style w:type="paragraph" w:styleId="1045">
    <w:name w:val="Caption"/>
    <w:basedOn w:val="1029"/>
    <w:next w:val="1029"/>
    <w:uiPriority w:val="35"/>
    <w:qFormat/>
    <w:pPr>
      <w:spacing w:line="276" w:lineRule="auto"/>
    </w:pPr>
    <w:rPr>
      <w:rFonts w:ascii="Times New Roman" w:hAnsi="Times New Roman" w:eastAsia="宋体" w:cs="Times New Roman"/>
      <w:b/>
      <w:bCs/>
      <w:color w:val="4f81bd"/>
      <w:sz w:val="18"/>
      <w:szCs w:val="18"/>
    </w:rPr>
  </w:style>
  <w:style w:type="paragraph" w:styleId="1046">
    <w:name w:val="index 5"/>
    <w:basedOn w:val="1029"/>
    <w:next w:val="1029"/>
    <w:uiPriority w:val="99"/>
    <w:qFormat/>
    <w:pPr>
      <w:ind w:left="1050" w:hanging="210"/>
      <w:jc w:val="left"/>
    </w:pPr>
    <w:rPr>
      <w:sz w:val="18"/>
      <w:szCs w:val="18"/>
      <w:lang w:eastAsia="zh-TW"/>
    </w:rPr>
  </w:style>
  <w:style w:type="paragraph" w:styleId="1047">
    <w:name w:val="Document Map"/>
    <w:basedOn w:val="1029"/>
    <w:link w:val="1178"/>
    <w:uiPriority w:val="99"/>
    <w:semiHidden/>
    <w:qFormat/>
    <w:pPr>
      <w:shd w:val="clear" w:color="auto" w:fill="000080"/>
    </w:pPr>
    <w:rPr>
      <w:rFonts w:ascii="Times New Roman" w:hAnsi="Times New Roman" w:eastAsia="宋体" w:cs="Times New Roman"/>
      <w:sz w:val="20"/>
      <w:szCs w:val="20"/>
    </w:rPr>
  </w:style>
  <w:style w:type="paragraph" w:styleId="1048">
    <w:name w:val="annotation text"/>
    <w:basedOn w:val="1029"/>
    <w:link w:val="1185"/>
    <w:uiPriority w:val="99"/>
    <w:semiHidden/>
    <w:unhideWhenUsed/>
    <w:qFormat/>
    <w:pPr>
      <w:jc w:val="left"/>
    </w:pPr>
  </w:style>
  <w:style w:type="paragraph" w:styleId="1049">
    <w:name w:val="Body Text"/>
    <w:basedOn w:val="1029"/>
    <w:next w:val="1029"/>
    <w:link w:val="1121"/>
    <w:uiPriority w:val="99"/>
    <w:qFormat/>
    <w:rPr>
      <w:rFonts w:ascii="华文中宋" w:hAnsi="Times New Roman" w:eastAsia="华文中宋" w:cs="Times New Roman"/>
      <w:bCs/>
      <w:sz w:val="28"/>
      <w:szCs w:val="20"/>
    </w:rPr>
  </w:style>
  <w:style w:type="paragraph" w:styleId="1050">
    <w:name w:val="Body Text Indent"/>
    <w:basedOn w:val="1029"/>
    <w:link w:val="1118"/>
    <w:uiPriority w:val="99"/>
    <w:qFormat/>
    <w:pPr>
      <w:ind w:firstLine="576"/>
    </w:pPr>
    <w:rPr>
      <w:rFonts w:ascii="Times New Roman" w:hAnsi="Times New Roman" w:eastAsia="宋体" w:cs="Times New Roman"/>
      <w:b/>
      <w:sz w:val="30"/>
      <w:szCs w:val="20"/>
    </w:rPr>
  </w:style>
  <w:style w:type="paragraph" w:styleId="1051">
    <w:name w:val="index 4"/>
    <w:basedOn w:val="1029"/>
    <w:next w:val="1029"/>
    <w:uiPriority w:val="0"/>
    <w:qFormat/>
    <w:pPr>
      <w:ind w:left="600"/>
    </w:pPr>
    <w:rPr>
      <w:szCs w:val="20"/>
    </w:rPr>
  </w:style>
  <w:style w:type="paragraph" w:styleId="1052">
    <w:name w:val="toc 5"/>
    <w:basedOn w:val="1029"/>
    <w:next w:val="1029"/>
    <w:uiPriority w:val="39"/>
    <w:unhideWhenUsed/>
    <w:qFormat/>
    <w:pPr>
      <w:ind w:left="1134"/>
      <w:spacing w:after="57"/>
    </w:pPr>
    <w:rPr>
      <w:rFonts w:ascii="Times New Roman" w:hAnsi="Times New Roman" w:eastAsia="宋体" w:cs="Times New Roman"/>
      <w:szCs w:val="21"/>
    </w:rPr>
  </w:style>
  <w:style w:type="paragraph" w:styleId="1053">
    <w:name w:val="toc 3"/>
    <w:basedOn w:val="1029"/>
    <w:next w:val="1029"/>
    <w:uiPriority w:val="39"/>
    <w:unhideWhenUsed/>
    <w:qFormat/>
    <w:pPr>
      <w:ind w:left="567"/>
      <w:spacing w:after="57"/>
    </w:pPr>
    <w:rPr>
      <w:rFonts w:ascii="Times New Roman" w:hAnsi="Times New Roman" w:eastAsia="宋体" w:cs="Times New Roman"/>
      <w:szCs w:val="21"/>
    </w:rPr>
  </w:style>
  <w:style w:type="paragraph" w:styleId="1054">
    <w:name w:val="toc 8"/>
    <w:basedOn w:val="1029"/>
    <w:next w:val="1029"/>
    <w:uiPriority w:val="39"/>
    <w:unhideWhenUsed/>
    <w:qFormat/>
    <w:pPr>
      <w:ind w:left="1984"/>
      <w:spacing w:after="57"/>
    </w:pPr>
    <w:rPr>
      <w:rFonts w:ascii="Times New Roman" w:hAnsi="Times New Roman" w:eastAsia="宋体" w:cs="Times New Roman"/>
      <w:szCs w:val="21"/>
    </w:rPr>
  </w:style>
  <w:style w:type="paragraph" w:styleId="1055">
    <w:name w:val="Date"/>
    <w:basedOn w:val="1029"/>
    <w:next w:val="1029"/>
    <w:link w:val="1117"/>
    <w:uiPriority w:val="99"/>
    <w:qFormat/>
    <w:rPr>
      <w:rFonts w:ascii="Times New Roman" w:hAnsi="Times New Roman" w:eastAsia="黑体" w:cs="Times New Roman"/>
      <w:b/>
      <w:sz w:val="36"/>
      <w:szCs w:val="20"/>
    </w:rPr>
  </w:style>
  <w:style w:type="paragraph" w:styleId="1056">
    <w:name w:val="Body Text Indent 2"/>
    <w:basedOn w:val="1029"/>
    <w:link w:val="1122"/>
    <w:uiPriority w:val="99"/>
    <w:qFormat/>
    <w:pPr>
      <w:ind w:left="900"/>
    </w:pPr>
    <w:rPr>
      <w:rFonts w:ascii="楷体_GB2312" w:hAnsi="Times New Roman" w:eastAsia="楷体_GB2312" w:cs="Times New Roman"/>
      <w:b/>
      <w:sz w:val="28"/>
      <w:szCs w:val="20"/>
    </w:rPr>
  </w:style>
  <w:style w:type="paragraph" w:styleId="1057">
    <w:name w:val="endnote text"/>
    <w:basedOn w:val="1029"/>
    <w:link w:val="1225"/>
    <w:uiPriority w:val="99"/>
    <w:unhideWhenUsed/>
    <w:qFormat/>
    <w:rPr>
      <w:rFonts w:ascii="Times New Roman" w:hAnsi="Times New Roman" w:eastAsia="宋体" w:cs="Times New Roman"/>
      <w:sz w:val="20"/>
      <w:szCs w:val="21"/>
    </w:rPr>
  </w:style>
  <w:style w:type="paragraph" w:styleId="1058">
    <w:name w:val="Balloon Text"/>
    <w:basedOn w:val="1029"/>
    <w:link w:val="1184"/>
    <w:uiPriority w:val="99"/>
    <w:unhideWhenUsed/>
    <w:qFormat/>
    <w:rPr>
      <w:rFonts w:ascii="Times New Roman" w:hAnsi="Times New Roman" w:eastAsia="宋体" w:cs="Times New Roman"/>
      <w:sz w:val="18"/>
      <w:szCs w:val="18"/>
    </w:rPr>
  </w:style>
  <w:style w:type="paragraph" w:styleId="1059">
    <w:name w:val="Footer"/>
    <w:basedOn w:val="1029"/>
    <w:next w:val="1060"/>
    <w:link w:val="1119"/>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060" w:customStyle="1">
    <w:name w:val="明显引用1"/>
    <w:next w:val="1029"/>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61">
    <w:name w:val="Header"/>
    <w:basedOn w:val="1029"/>
    <w:link w:val="1120"/>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1062">
    <w:name w:val="toc 1"/>
    <w:basedOn w:val="1029"/>
    <w:next w:val="1029"/>
    <w:uiPriority w:val="39"/>
    <w:unhideWhenUsed/>
    <w:qFormat/>
    <w:pPr>
      <w:spacing w:after="57"/>
    </w:pPr>
    <w:rPr>
      <w:rFonts w:ascii="Times New Roman" w:hAnsi="Times New Roman" w:eastAsia="宋体" w:cs="Times New Roman"/>
      <w:szCs w:val="21"/>
    </w:rPr>
  </w:style>
  <w:style w:type="paragraph" w:styleId="1063">
    <w:name w:val="toc 4"/>
    <w:basedOn w:val="1029"/>
    <w:next w:val="1029"/>
    <w:uiPriority w:val="39"/>
    <w:unhideWhenUsed/>
    <w:qFormat/>
    <w:pPr>
      <w:ind w:left="850"/>
      <w:spacing w:after="57"/>
    </w:pPr>
    <w:rPr>
      <w:rFonts w:ascii="Times New Roman" w:hAnsi="Times New Roman" w:eastAsia="宋体" w:cs="Times New Roman"/>
      <w:szCs w:val="21"/>
    </w:rPr>
  </w:style>
  <w:style w:type="paragraph" w:styleId="1064">
    <w:name w:val="Subtitle"/>
    <w:basedOn w:val="1029"/>
    <w:next w:val="1029"/>
    <w:link w:val="1234"/>
    <w:uiPriority w:val="11"/>
    <w:qFormat/>
    <w:pPr>
      <w:ind w:firstLine="471"/>
      <w:jc w:val="center"/>
      <w:spacing w:before="240" w:after="60" w:line="312" w:lineRule="atLeast"/>
      <w:outlineLvl w:val="1"/>
    </w:pPr>
    <w:rPr>
      <w:rFonts w:ascii="Arial" w:hAnsi="Arial"/>
      <w:b/>
      <w:bCs/>
      <w:sz w:val="32"/>
      <w:szCs w:val="32"/>
    </w:rPr>
  </w:style>
  <w:style w:type="paragraph" w:styleId="1065">
    <w:name w:val="List"/>
    <w:basedOn w:val="1029"/>
    <w:uiPriority w:val="0"/>
    <w:qFormat/>
    <w:pPr>
      <w:ind w:firstLine="480"/>
      <w:spacing w:after="20" w:line="360" w:lineRule="auto"/>
      <w:tabs>
        <w:tab w:val="left" w:pos="420" w:leader="none"/>
      </w:tabs>
    </w:pPr>
    <w:rPr>
      <w:rFonts w:ascii="宋体" w:hAnsi="宋体" w:eastAsia="宋体" w:cs="宋体"/>
      <w:sz w:val="24"/>
      <w:szCs w:val="24"/>
    </w:rPr>
  </w:style>
  <w:style w:type="paragraph" w:styleId="1066">
    <w:name w:val="footnote text"/>
    <w:basedOn w:val="1029"/>
    <w:link w:val="1223"/>
    <w:uiPriority w:val="99"/>
    <w:unhideWhenUsed/>
    <w:qFormat/>
    <w:pPr>
      <w:spacing w:after="40"/>
    </w:pPr>
    <w:rPr>
      <w:rFonts w:ascii="Times New Roman" w:hAnsi="Times New Roman" w:eastAsia="宋体" w:cs="Times New Roman"/>
      <w:sz w:val="18"/>
      <w:szCs w:val="21"/>
    </w:rPr>
  </w:style>
  <w:style w:type="paragraph" w:styleId="1067">
    <w:name w:val="toc 6"/>
    <w:basedOn w:val="1029"/>
    <w:next w:val="1029"/>
    <w:uiPriority w:val="39"/>
    <w:unhideWhenUsed/>
    <w:qFormat/>
    <w:pPr>
      <w:ind w:left="1417"/>
      <w:spacing w:after="57"/>
    </w:pPr>
    <w:rPr>
      <w:rFonts w:ascii="Times New Roman" w:hAnsi="Times New Roman" w:eastAsia="宋体" w:cs="Times New Roman"/>
      <w:szCs w:val="21"/>
    </w:rPr>
  </w:style>
  <w:style w:type="paragraph" w:styleId="1068">
    <w:name w:val="Body Text Indent 3"/>
    <w:basedOn w:val="1029"/>
    <w:link w:val="1123"/>
    <w:uiPriority w:val="99"/>
    <w:qFormat/>
    <w:pPr>
      <w:ind w:left="359" w:firstLine="359"/>
    </w:pPr>
    <w:rPr>
      <w:rFonts w:ascii="Times New Roman" w:hAnsi="Times New Roman" w:eastAsia="宋体" w:cs="Times New Roman"/>
      <w:sz w:val="20"/>
      <w:szCs w:val="20"/>
    </w:rPr>
  </w:style>
  <w:style w:type="paragraph" w:styleId="1069">
    <w:name w:val="table of figures"/>
    <w:basedOn w:val="1029"/>
    <w:next w:val="1029"/>
    <w:uiPriority w:val="99"/>
    <w:unhideWhenUsed/>
    <w:qFormat/>
    <w:rPr>
      <w:rFonts w:ascii="Times New Roman" w:hAnsi="Times New Roman" w:eastAsia="宋体" w:cs="Times New Roman"/>
      <w:szCs w:val="21"/>
    </w:rPr>
  </w:style>
  <w:style w:type="paragraph" w:styleId="1070">
    <w:name w:val="toc 9"/>
    <w:basedOn w:val="1029"/>
    <w:next w:val="1029"/>
    <w:uiPriority w:val="39"/>
    <w:unhideWhenUsed/>
    <w:qFormat/>
    <w:pPr>
      <w:ind w:left="2268"/>
      <w:spacing w:after="57"/>
    </w:pPr>
    <w:rPr>
      <w:rFonts w:ascii="Times New Roman" w:hAnsi="Times New Roman" w:eastAsia="宋体" w:cs="Times New Roman"/>
      <w:szCs w:val="21"/>
    </w:rPr>
  </w:style>
  <w:style w:type="paragraph" w:styleId="1071">
    <w:name w:val="Body Text 2"/>
    <w:basedOn w:val="1029"/>
    <w:link w:val="1179"/>
    <w:uiPriority w:val="99"/>
    <w:qFormat/>
    <w:pPr>
      <w:spacing w:after="120" w:line="480" w:lineRule="auto"/>
    </w:pPr>
    <w:rPr>
      <w:rFonts w:ascii="Times New Roman" w:hAnsi="Times New Roman" w:eastAsia="宋体" w:cs="Times New Roman"/>
      <w:sz w:val="20"/>
      <w:szCs w:val="20"/>
    </w:rPr>
  </w:style>
  <w:style w:type="paragraph" w:styleId="1072">
    <w:name w:val="Normal (Web)"/>
    <w:basedOn w:val="1029"/>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1073">
    <w:name w:val="Title"/>
    <w:basedOn w:val="1029"/>
    <w:next w:val="1029"/>
    <w:link w:val="1211"/>
    <w:uiPriority w:val="10"/>
    <w:qFormat/>
    <w:pPr>
      <w:contextualSpacing/>
      <w:spacing w:before="300" w:after="200"/>
    </w:pPr>
    <w:rPr>
      <w:rFonts w:ascii="Times New Roman" w:hAnsi="Times New Roman" w:eastAsia="宋体" w:cs="Times New Roman"/>
      <w:sz w:val="48"/>
      <w:szCs w:val="48"/>
    </w:rPr>
  </w:style>
  <w:style w:type="paragraph" w:styleId="1074">
    <w:name w:val="annotation subject"/>
    <w:basedOn w:val="1048"/>
    <w:next w:val="1048"/>
    <w:link w:val="1186"/>
    <w:uiPriority w:val="99"/>
    <w:semiHidden/>
    <w:unhideWhenUsed/>
    <w:qFormat/>
    <w:rPr>
      <w:b/>
      <w:bCs/>
    </w:rPr>
  </w:style>
  <w:style w:type="paragraph" w:styleId="1075">
    <w:name w:val="Body Text First Indent"/>
    <w:basedOn w:val="1049"/>
    <w:uiPriority w:val="99"/>
    <w:unhideWhenUsed/>
    <w:qFormat/>
    <w:pPr>
      <w:ind w:firstLine="420"/>
      <w:spacing w:after="120"/>
    </w:pPr>
    <w:rPr>
      <w:rFonts w:ascii="Calibri" w:hAnsi="Calibri" w:eastAsia="宋体"/>
      <w:sz w:val="21"/>
      <w:szCs w:val="22"/>
    </w:rPr>
  </w:style>
  <w:style w:type="paragraph" w:styleId="1076">
    <w:name w:val="Body Text First Indent 2"/>
    <w:basedOn w:val="1050"/>
    <w:link w:val="1189"/>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1077">
    <w:name w:val="Table Grid"/>
    <w:basedOn w:val="1040"/>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8">
    <w:name w:val="Strong"/>
    <w:uiPriority w:val="99"/>
    <w:qFormat/>
    <w:rPr>
      <w:rFonts w:cs="Times New Roman"/>
      <w:b/>
      <w:bCs/>
    </w:rPr>
  </w:style>
  <w:style w:type="character" w:styleId="1079">
    <w:name w:val="endnote reference"/>
    <w:uiPriority w:val="99"/>
    <w:unhideWhenUsed/>
    <w:qFormat/>
    <w:rPr>
      <w:vertAlign w:val="superscript"/>
    </w:rPr>
  </w:style>
  <w:style w:type="character" w:styleId="1080">
    <w:name w:val="page number"/>
    <w:uiPriority w:val="99"/>
    <w:qFormat/>
    <w:rPr>
      <w:rFonts w:cs="Times New Roman"/>
    </w:rPr>
  </w:style>
  <w:style w:type="character" w:styleId="1081">
    <w:name w:val="FollowedHyperlink"/>
    <w:uiPriority w:val="99"/>
    <w:semiHidden/>
    <w:unhideWhenUsed/>
    <w:qFormat/>
    <w:rPr>
      <w:color w:val="800080"/>
      <w:u w:val="single"/>
    </w:rPr>
  </w:style>
  <w:style w:type="character" w:styleId="1082">
    <w:name w:val="HTML Typewriter"/>
    <w:uiPriority w:val="99"/>
    <w:qFormat/>
    <w:rPr>
      <w:rFonts w:ascii="宋体" w:hAnsi="宋体" w:eastAsia="宋体" w:cs="宋体"/>
      <w:sz w:val="24"/>
      <w:szCs w:val="24"/>
    </w:rPr>
  </w:style>
  <w:style w:type="character" w:styleId="1083">
    <w:name w:val="Hyperlink"/>
    <w:uiPriority w:val="99"/>
    <w:qFormat/>
    <w:rPr>
      <w:rFonts w:cs="Times New Roman"/>
      <w:color w:val="auto"/>
      <w:u w:val="none"/>
    </w:rPr>
  </w:style>
  <w:style w:type="character" w:styleId="1084">
    <w:name w:val="annotation reference"/>
    <w:basedOn w:val="1039"/>
    <w:uiPriority w:val="0"/>
    <w:semiHidden/>
    <w:unhideWhenUsed/>
    <w:qFormat/>
    <w:rPr>
      <w:sz w:val="21"/>
      <w:szCs w:val="21"/>
    </w:rPr>
  </w:style>
  <w:style w:type="character" w:styleId="1085">
    <w:name w:val="footnote reference"/>
    <w:uiPriority w:val="99"/>
    <w:unhideWhenUsed/>
    <w:qFormat/>
    <w:rPr>
      <w:vertAlign w:val="superscript"/>
    </w:rPr>
  </w:style>
  <w:style w:type="table" w:styleId="1086" w:customStyle="1">
    <w:name w:val="无格式表格 11"/>
    <w:basedOn w:val="1040"/>
    <w:uiPriority w:val="59"/>
    <w:qFormat/>
    <w:rPr>
      <w:rFonts w:ascii="Calibri" w:hAnsi="Calibri"/>
    </w:rPr>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无格式表格 21"/>
    <w:basedOn w:val="1040"/>
    <w:uiPriority w:val="59"/>
    <w:qFormat/>
    <w:rPr>
      <w:rFonts w:ascii="Calibri" w:hAnsi="Calibri"/>
    </w:rPr>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无格式表格 3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9" w:customStyle="1">
    <w:name w:val="无格式表格 4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0" w:customStyle="1">
    <w:name w:val="无格式表格 5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1" w:customStyle="1">
    <w:name w:val="网格表 1 浅色1"/>
    <w:basedOn w:val="1040"/>
    <w:uiPriority w:val="99"/>
    <w:qFormat/>
    <w:rPr>
      <w:rFonts w:ascii="Calibri" w:hAnsi="Calibri"/>
    </w:rPr>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2" w:customStyle="1">
    <w:name w:val="网格表 2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3" w:customStyle="1">
    <w:name w:val="网格表 3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网格表 41"/>
    <w:basedOn w:val="1040"/>
    <w:uiPriority w:val="59"/>
    <w:qFormat/>
    <w:rPr>
      <w:rFonts w:ascii="Calibri" w:hAnsi="Calibri"/>
    </w:rPr>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网格表 5 深色1"/>
    <w:basedOn w:val="1040"/>
    <w:uiPriority w:val="99"/>
    <w:qFormat/>
    <w:rPr>
      <w:rFonts w:ascii="Calibri" w:hAnsi="Calibri"/>
    </w:rPr>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6" w:customStyle="1">
    <w:name w:val="网格表 6 彩色1"/>
    <w:basedOn w:val="1040"/>
    <w:uiPriority w:val="99"/>
    <w:qFormat/>
    <w:rPr>
      <w:rFonts w:ascii="Calibri" w:hAnsi="Calibri"/>
    </w:rPr>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网格表 7 彩色1"/>
    <w:basedOn w:val="1040"/>
    <w:uiPriority w:val="99"/>
    <w:qFormat/>
    <w:rPr>
      <w:rFonts w:ascii="Calibri" w:hAnsi="Calibri"/>
    </w:rPr>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8" w:customStyle="1">
    <w:name w:val="清单表 1 浅色1"/>
    <w:basedOn w:val="1040"/>
    <w:uiPriority w:val="99"/>
    <w:qFormat/>
    <w:rPr>
      <w:rFonts w:ascii="Calibri" w:hAnsi="Calibri"/>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9" w:customStyle="1">
    <w:name w:val="清单表 2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0" w:customStyle="1">
    <w:name w:val="清单表 31"/>
    <w:basedOn w:val="1040"/>
    <w:uiPriority w:val="99"/>
    <w:qFormat/>
    <w:rPr>
      <w:rFonts w:ascii="Calibri" w:hAnsi="Calibri"/>
    </w:rPr>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清单表 41"/>
    <w:basedOn w:val="1040"/>
    <w:uiPriority w:val="99"/>
    <w:qFormat/>
    <w:rPr>
      <w:rFonts w:ascii="Calibri" w:hAnsi="Calibri"/>
    </w:rPr>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清单表 5 深色1"/>
    <w:basedOn w:val="1040"/>
    <w:uiPriority w:val="99"/>
    <w:qFormat/>
    <w:rPr>
      <w:rFonts w:ascii="Calibri" w:hAnsi="Calibri"/>
    </w:rPr>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清单表 6 彩色1"/>
    <w:basedOn w:val="1040"/>
    <w:uiPriority w:val="99"/>
    <w:qFormat/>
    <w:rPr>
      <w:rFonts w:ascii="Calibri" w:hAnsi="Calibri"/>
    </w:rPr>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清单表 7 彩色1"/>
    <w:basedOn w:val="1040"/>
    <w:uiPriority w:val="99"/>
    <w:qFormat/>
    <w:rPr>
      <w:rFonts w:ascii="Calibri" w:hAnsi="Calibri"/>
    </w:rPr>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05" w:customStyle="1">
    <w:name w:val="TOC 标题1"/>
    <w:uiPriority w:val="39"/>
    <w:unhideWhenUsed/>
    <w:qFormat/>
    <w:rPr>
      <w:rFonts w:ascii="Times New Roman" w:hAnsi="Times New Roman" w:eastAsia="宋体" w:cs="Times New Roman"/>
      <w:lang w:val="en-US" w:eastAsia="zh-CN" w:bidi="ar-SA"/>
    </w:rPr>
  </w:style>
  <w:style w:type="paragraph" w:styleId="1106" w:customStyle="1">
    <w:name w:val="列出段落1"/>
    <w:basedOn w:val="1029"/>
    <w:link w:val="1422"/>
    <w:uiPriority w:val="0"/>
    <w:qFormat/>
    <w:pPr>
      <w:ind w:firstLine="420"/>
      <w:spacing w:before="120" w:after="120" w:line="360" w:lineRule="auto"/>
    </w:pPr>
    <w:rPr>
      <w:rFonts w:ascii="Calibri" w:hAnsi="Calibri" w:eastAsia="宋体" w:cs="Times New Roman"/>
      <w:sz w:val="24"/>
    </w:rPr>
  </w:style>
  <w:style w:type="paragraph" w:styleId="1107" w:customStyle="1">
    <w:name w:val="BodyText1I"/>
    <w:basedOn w:val="1108"/>
    <w:uiPriority w:val="99"/>
    <w:qFormat/>
    <w:pPr>
      <w:ind w:firstLine="420"/>
      <w:spacing w:after="120"/>
    </w:pPr>
    <w:rPr>
      <w:rFonts w:ascii="Times New Roman" w:eastAsia="宋体" w:cs="Times New Roman"/>
      <w:sz w:val="20"/>
      <w:szCs w:val="20"/>
    </w:rPr>
  </w:style>
  <w:style w:type="paragraph" w:styleId="1108" w:customStyle="1">
    <w:name w:val="BodyText"/>
    <w:basedOn w:val="1029"/>
    <w:uiPriority w:val="99"/>
    <w:qFormat/>
    <w:rPr>
      <w:rFonts w:ascii="华文中宋" w:eastAsia="Times New Roman" w:cs="华文中宋"/>
      <w:sz w:val="28"/>
      <w:szCs w:val="28"/>
    </w:rPr>
  </w:style>
  <w:style w:type="paragraph" w:styleId="1109" w:customStyle="1">
    <w:name w:val="Cn Heading3"/>
    <w:basedOn w:val="1106"/>
    <w:uiPriority w:val="0"/>
    <w:qFormat/>
    <w:pPr>
      <w:ind w:firstLine="0"/>
      <w:spacing w:line="480" w:lineRule="auto"/>
      <w:outlineLvl w:val="2"/>
    </w:pPr>
    <w:rPr>
      <w:rFonts w:ascii="微软雅黑" w:hAnsi="微软雅黑" w:eastAsia="微软雅黑"/>
      <w:b/>
      <w:sz w:val="28"/>
      <w:szCs w:val="28"/>
      <w:lang w:eastAsia="ja-JP"/>
    </w:rPr>
  </w:style>
  <w:style w:type="paragraph" w:styleId="1110" w:customStyle="1">
    <w:name w:val="首行缩进"/>
    <w:basedOn w:val="1029"/>
    <w:uiPriority w:val="0"/>
    <w:qFormat/>
    <w:pPr>
      <w:ind w:firstLine="480"/>
    </w:pPr>
    <w:rPr>
      <w:lang w:val="zh-CN"/>
    </w:rPr>
  </w:style>
  <w:style w:type="paragraph" w:styleId="1111" w:customStyle="1">
    <w:name w:val="TOC 标题111"/>
    <w:uiPriority w:val="39"/>
    <w:unhideWhenUsed/>
    <w:qFormat/>
    <w:rPr>
      <w:rFonts w:asciiTheme="minorHAnsi" w:hAnsiTheme="minorHAnsi" w:eastAsiaTheme="minorEastAsia" w:cstheme="minorBidi"/>
      <w:lang w:val="en-US" w:eastAsia="zh-CN" w:bidi="ar-SA"/>
    </w:rPr>
  </w:style>
  <w:style w:type="character" w:styleId="1112" w:customStyle="1">
    <w:name w:val="标题 1 Char1"/>
    <w:basedOn w:val="1039"/>
    <w:link w:val="1030"/>
    <w:uiPriority w:val="9"/>
    <w:qFormat/>
    <w:rPr>
      <w:rFonts w:ascii="楷体_GB2312" w:hAnsi="Times New Roman" w:eastAsia="楷体_GB2312" w:cs="Times New Roman"/>
      <w:b/>
      <w:sz w:val="28"/>
      <w:szCs w:val="20"/>
    </w:rPr>
  </w:style>
  <w:style w:type="character" w:styleId="1113" w:customStyle="1">
    <w:name w:val="标题 2 Char1"/>
    <w:basedOn w:val="1039"/>
    <w:link w:val="1031"/>
    <w:uiPriority w:val="9"/>
    <w:qFormat/>
    <w:rPr>
      <w:rFonts w:ascii="楷体_GB2312" w:hAnsi="Times New Roman" w:eastAsia="楷体_GB2312" w:cs="Times New Roman"/>
      <w:b/>
      <w:bCs/>
      <w:sz w:val="18"/>
      <w:szCs w:val="20"/>
    </w:rPr>
  </w:style>
  <w:style w:type="character" w:styleId="1114" w:customStyle="1">
    <w:name w:val="标题 3 Char1"/>
    <w:basedOn w:val="1039"/>
    <w:link w:val="1032"/>
    <w:uiPriority w:val="9"/>
    <w:qFormat/>
    <w:rPr>
      <w:rFonts w:asciiTheme="minorEastAsia" w:hAnsiTheme="minorEastAsia"/>
      <w:b/>
      <w:bCs/>
      <w:sz w:val="24"/>
      <w:szCs w:val="24"/>
    </w:rPr>
  </w:style>
  <w:style w:type="character" w:styleId="1115" w:customStyle="1">
    <w:name w:val="标题 4 Char1"/>
    <w:basedOn w:val="1039"/>
    <w:link w:val="1033"/>
    <w:uiPriority w:val="9"/>
    <w:qFormat/>
    <w:rPr>
      <w:rFonts w:ascii="Times New Roman" w:hAnsi="Times New Roman" w:eastAsia="楷体_GB2312" w:cs="Times New Roman"/>
      <w:b/>
      <w:bCs/>
      <w:sz w:val="15"/>
    </w:rPr>
  </w:style>
  <w:style w:type="character" w:styleId="1116" w:customStyle="1">
    <w:name w:val="标题 5 Char1"/>
    <w:basedOn w:val="1039"/>
    <w:link w:val="1034"/>
    <w:uiPriority w:val="9"/>
    <w:qFormat/>
    <w:rPr>
      <w:rFonts w:ascii="楷体_GB2312" w:hAnsi="Times New Roman" w:eastAsia="楷体_GB2312" w:cs="Times New Roman"/>
      <w:bCs/>
      <w:sz w:val="28"/>
    </w:rPr>
  </w:style>
  <w:style w:type="character" w:styleId="1117" w:customStyle="1">
    <w:name w:val="日期 Char1"/>
    <w:basedOn w:val="1039"/>
    <w:link w:val="1055"/>
    <w:uiPriority w:val="99"/>
    <w:qFormat/>
    <w:rPr>
      <w:rFonts w:ascii="Times New Roman" w:hAnsi="Times New Roman" w:eastAsia="黑体" w:cs="Times New Roman"/>
      <w:b/>
      <w:sz w:val="36"/>
      <w:szCs w:val="20"/>
    </w:rPr>
  </w:style>
  <w:style w:type="character" w:styleId="1118" w:customStyle="1">
    <w:name w:val="正文文本缩进 Char1"/>
    <w:basedOn w:val="1039"/>
    <w:link w:val="1050"/>
    <w:uiPriority w:val="99"/>
    <w:qFormat/>
    <w:rPr>
      <w:rFonts w:ascii="Times New Roman" w:hAnsi="Times New Roman" w:eastAsia="宋体" w:cs="Times New Roman"/>
      <w:b/>
      <w:sz w:val="30"/>
      <w:szCs w:val="20"/>
    </w:rPr>
  </w:style>
  <w:style w:type="character" w:styleId="1119" w:customStyle="1">
    <w:name w:val="页脚 Char1"/>
    <w:basedOn w:val="1039"/>
    <w:link w:val="1059"/>
    <w:uiPriority w:val="99"/>
    <w:qFormat/>
    <w:rPr>
      <w:rFonts w:ascii="Times New Roman" w:hAnsi="Times New Roman" w:eastAsia="宋体" w:cs="Times New Roman"/>
      <w:sz w:val="18"/>
      <w:szCs w:val="20"/>
    </w:rPr>
  </w:style>
  <w:style w:type="character" w:styleId="1120" w:customStyle="1">
    <w:name w:val="页眉 Char1"/>
    <w:basedOn w:val="1039"/>
    <w:link w:val="1061"/>
    <w:uiPriority w:val="99"/>
    <w:qFormat/>
    <w:rPr>
      <w:rFonts w:ascii="Times New Roman" w:hAnsi="Times New Roman" w:eastAsia="宋体" w:cs="Times New Roman"/>
      <w:sz w:val="18"/>
      <w:szCs w:val="20"/>
    </w:rPr>
  </w:style>
  <w:style w:type="character" w:styleId="1121" w:customStyle="1">
    <w:name w:val="正文文本 Char1"/>
    <w:basedOn w:val="1039"/>
    <w:link w:val="1049"/>
    <w:uiPriority w:val="99"/>
    <w:qFormat/>
    <w:rPr>
      <w:rFonts w:ascii="华文中宋" w:hAnsi="Times New Roman" w:eastAsia="华文中宋" w:cs="Times New Roman"/>
      <w:bCs/>
      <w:sz w:val="28"/>
      <w:szCs w:val="20"/>
    </w:rPr>
  </w:style>
  <w:style w:type="character" w:styleId="1122" w:customStyle="1">
    <w:name w:val="正文文本缩进 2 Char1"/>
    <w:basedOn w:val="1039"/>
    <w:link w:val="1056"/>
    <w:uiPriority w:val="99"/>
    <w:qFormat/>
    <w:rPr>
      <w:rFonts w:ascii="楷体_GB2312" w:hAnsi="Times New Roman" w:eastAsia="楷体_GB2312" w:cs="Times New Roman"/>
      <w:b/>
      <w:sz w:val="28"/>
      <w:szCs w:val="20"/>
    </w:rPr>
  </w:style>
  <w:style w:type="character" w:styleId="1123" w:customStyle="1">
    <w:name w:val="正文文本缩进 3 Char1"/>
    <w:basedOn w:val="1039"/>
    <w:link w:val="1068"/>
    <w:uiPriority w:val="99"/>
    <w:qFormat/>
    <w:rPr>
      <w:rFonts w:ascii="Times New Roman" w:hAnsi="Times New Roman" w:eastAsia="宋体" w:cs="Times New Roman"/>
      <w:sz w:val="20"/>
      <w:szCs w:val="20"/>
    </w:rPr>
  </w:style>
  <w:style w:type="paragraph" w:styleId="1124" w:customStyle="1">
    <w:name w:val="font5"/>
    <w:basedOn w:val="1029"/>
    <w:uiPriority w:val="0"/>
    <w:qFormat/>
    <w:pPr>
      <w:jc w:val="left"/>
      <w:spacing w:before="100" w:beforeAutospacing="1" w:after="100" w:afterAutospacing="1"/>
      <w:widowControl/>
    </w:pPr>
    <w:rPr>
      <w:rFonts w:ascii="宋体" w:hAnsi="宋体" w:eastAsia="宋体" w:cs="Times New Roman"/>
      <w:sz w:val="18"/>
      <w:szCs w:val="18"/>
    </w:rPr>
  </w:style>
  <w:style w:type="paragraph" w:styleId="1125" w:customStyle="1">
    <w:name w:val="font6"/>
    <w:basedOn w:val="1029"/>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1126" w:customStyle="1">
    <w:name w:val="font7"/>
    <w:basedOn w:val="1029"/>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1127" w:customStyle="1">
    <w:name w:val="font8"/>
    <w:basedOn w:val="1029"/>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1128" w:customStyle="1">
    <w:name w:val="font9"/>
    <w:basedOn w:val="1029"/>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129" w:customStyle="1">
    <w:name w:val="xl24"/>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30" w:customStyle="1">
    <w:name w:val="xl25"/>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31" w:customStyle="1">
    <w:name w:val="xl26"/>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32" w:customStyle="1">
    <w:name w:val="xl27"/>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33" w:customStyle="1">
    <w:name w:val="xl28"/>
    <w:basedOn w:val="10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34" w:customStyle="1">
    <w:name w:val="xl29"/>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35" w:customStyle="1">
    <w:name w:val="xl30"/>
    <w:basedOn w:val="10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36" w:customStyle="1">
    <w:name w:val="xl31"/>
    <w:basedOn w:val="10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1137" w:customStyle="1">
    <w:name w:val="xl32"/>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38" w:customStyle="1">
    <w:name w:val="xl33"/>
    <w:basedOn w:val="10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39" w:customStyle="1">
    <w:name w:val="xl34"/>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40" w:customStyle="1">
    <w:name w:val="xl35"/>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1141" w:customStyle="1">
    <w:name w:val="xl36"/>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42" w:customStyle="1">
    <w:name w:val="xl37"/>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1143" w:customStyle="1">
    <w:name w:val="xl38"/>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44" w:customStyle="1">
    <w:name w:val="xl39"/>
    <w:basedOn w:val="1029"/>
    <w:next w:val="11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45" w:customStyle="1">
    <w:name w:val="分手多日，近况如何？"/>
    <w:next w:val="1029"/>
    <w:uiPriority w:val="0"/>
    <w:qFormat/>
    <w:pPr>
      <w:jc w:val="both"/>
      <w:widowControl w:val="off"/>
    </w:pPr>
    <w:rPr>
      <w:rFonts w:ascii="Times New Roman" w:hAnsi="Times New Roman" w:eastAsia="宋体" w:cs="Times New Roman"/>
      <w:sz w:val="21"/>
      <w:lang w:val="en-US" w:eastAsia="zh-CN" w:bidi="ar-SA"/>
    </w:rPr>
  </w:style>
  <w:style w:type="paragraph" w:styleId="1146" w:customStyle="1">
    <w:name w:val="xl40"/>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47" w:customStyle="1">
    <w:name w:val="xl41"/>
    <w:basedOn w:val="102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48" w:customStyle="1">
    <w:name w:val="xl42"/>
    <w:basedOn w:val="102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49" w:customStyle="1">
    <w:name w:val="xl43"/>
    <w:basedOn w:val="10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150" w:customStyle="1">
    <w:name w:val="xl44"/>
    <w:basedOn w:val="10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1151" w:customStyle="1">
    <w:name w:val="xl45"/>
    <w:basedOn w:val="1029"/>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1152" w:customStyle="1">
    <w:name w:val="xl46"/>
    <w:basedOn w:val="1029"/>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1153" w:customStyle="1">
    <w:name w:val="xl47"/>
    <w:basedOn w:val="10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54" w:customStyle="1">
    <w:name w:val="xl48"/>
    <w:basedOn w:val="10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155" w:customStyle="1">
    <w:name w:val="xl49"/>
    <w:basedOn w:val="1029"/>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156" w:customStyle="1">
    <w:name w:val="xl50"/>
    <w:basedOn w:val="10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57" w:customStyle="1">
    <w:name w:val="xl51"/>
    <w:basedOn w:val="10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158" w:customStyle="1">
    <w:name w:val="xl52"/>
    <w:basedOn w:val="10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159" w:customStyle="1">
    <w:name w:val="xl53"/>
    <w:basedOn w:val="10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60" w:customStyle="1">
    <w:name w:val="xl54"/>
    <w:basedOn w:val="10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161" w:customStyle="1">
    <w:name w:val="xl55"/>
    <w:basedOn w:val="10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162" w:customStyle="1">
    <w:name w:val="xl56"/>
    <w:basedOn w:val="10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163" w:customStyle="1">
    <w:name w:val="xl57"/>
    <w:basedOn w:val="1029"/>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164" w:customStyle="1">
    <w:name w:val="xl58"/>
    <w:basedOn w:val="1029"/>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165" w:customStyle="1">
    <w:name w:val="xl59"/>
    <w:basedOn w:val="1029"/>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66" w:customStyle="1">
    <w:name w:val="xl60"/>
    <w:basedOn w:val="1029"/>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167" w:customStyle="1">
    <w:name w:val="xl61"/>
    <w:basedOn w:val="1029"/>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168" w:customStyle="1">
    <w:name w:val="xl62"/>
    <w:basedOn w:val="1029"/>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169" w:customStyle="1">
    <w:name w:val="xl63"/>
    <w:basedOn w:val="1029"/>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170" w:customStyle="1">
    <w:name w:val="font10"/>
    <w:basedOn w:val="1029"/>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1171" w:customStyle="1">
    <w:name w:val="font11"/>
    <w:basedOn w:val="1029"/>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172" w:customStyle="1">
    <w:name w:val="font12"/>
    <w:basedOn w:val="1029"/>
    <w:uiPriority w:val="99"/>
    <w:qFormat/>
    <w:pPr>
      <w:jc w:val="left"/>
      <w:spacing w:before="100" w:beforeAutospacing="1" w:after="100" w:afterAutospacing="1"/>
      <w:widowControl/>
    </w:pPr>
    <w:rPr>
      <w:rFonts w:ascii="宋体" w:hAnsi="宋体" w:eastAsia="宋体" w:cs="Times New Roman"/>
      <w:sz w:val="36"/>
      <w:szCs w:val="36"/>
    </w:rPr>
  </w:style>
  <w:style w:type="paragraph" w:styleId="1173" w:customStyle="1">
    <w:name w:val="font13"/>
    <w:basedOn w:val="1029"/>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174" w:customStyle="1">
    <w:name w:val="font14"/>
    <w:basedOn w:val="1029"/>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1175" w:customStyle="1">
    <w:name w:val="case31"/>
    <w:uiPriority w:val="99"/>
    <w:qFormat/>
    <w:rPr>
      <w:rFonts w:cs="Times New Roman"/>
      <w:spacing w:val="390"/>
      <w:sz w:val="21"/>
      <w:szCs w:val="21"/>
    </w:rPr>
  </w:style>
  <w:style w:type="paragraph" w:styleId="1176" w:customStyle="1">
    <w:name w:val="普通文字"/>
    <w:basedOn w:val="1029"/>
    <w:next w:val="1029"/>
    <w:uiPriority w:val="99"/>
    <w:qFormat/>
    <w:rPr>
      <w:rFonts w:ascii="宋体" w:hAnsi="Times New Roman" w:eastAsia="宋体" w:cs="Times New Roman"/>
      <w:sz w:val="24"/>
      <w:szCs w:val="20"/>
    </w:rPr>
  </w:style>
  <w:style w:type="paragraph" w:styleId="1177" w:customStyle="1">
    <w:name w:val="默认段落字体 Para Char"/>
    <w:basedOn w:val="1029"/>
    <w:uiPriority w:val="99"/>
    <w:qFormat/>
    <w:pPr>
      <w:ind w:left="552" w:hanging="420"/>
      <w:tabs>
        <w:tab w:val="left" w:pos="552" w:leader="none"/>
      </w:tabs>
    </w:pPr>
    <w:rPr>
      <w:rFonts w:ascii="Times New Roman" w:hAnsi="Times New Roman" w:eastAsia="宋体" w:cs="Times New Roman"/>
      <w:sz w:val="24"/>
      <w:szCs w:val="24"/>
    </w:rPr>
  </w:style>
  <w:style w:type="character" w:styleId="1178" w:customStyle="1">
    <w:name w:val="文档结构图 Char1"/>
    <w:basedOn w:val="1039"/>
    <w:link w:val="1047"/>
    <w:uiPriority w:val="99"/>
    <w:semiHidden/>
    <w:qFormat/>
    <w:rPr>
      <w:rFonts w:ascii="Times New Roman" w:hAnsi="Times New Roman" w:eastAsia="宋体" w:cs="Times New Roman"/>
      <w:sz w:val="20"/>
      <w:szCs w:val="20"/>
      <w:shd w:val="clear" w:color="auto" w:fill="000080"/>
    </w:rPr>
  </w:style>
  <w:style w:type="character" w:styleId="1179" w:customStyle="1">
    <w:name w:val="正文文本 2 Char1"/>
    <w:basedOn w:val="1039"/>
    <w:link w:val="1071"/>
    <w:uiPriority w:val="99"/>
    <w:qFormat/>
    <w:rPr>
      <w:rFonts w:ascii="Times New Roman" w:hAnsi="Times New Roman" w:eastAsia="宋体" w:cs="Times New Roman"/>
      <w:sz w:val="20"/>
      <w:szCs w:val="20"/>
    </w:rPr>
  </w:style>
  <w:style w:type="paragraph" w:styleId="1180" w:customStyle="1">
    <w:name w:val="Char Char Char Char"/>
    <w:basedOn w:val="1047"/>
    <w:uiPriority w:val="0"/>
    <w:qFormat/>
    <w:pPr>
      <w:spacing w:line="360" w:lineRule="auto"/>
    </w:pPr>
    <w:rPr>
      <w:rFonts w:ascii="Tahoma" w:hAnsi="Tahoma"/>
      <w:sz w:val="24"/>
      <w:szCs w:val="24"/>
    </w:rPr>
  </w:style>
  <w:style w:type="paragraph" w:styleId="1181" w:customStyle="1">
    <w:name w:val="Char Char1 Char Char Char Char"/>
    <w:basedOn w:val="1047"/>
    <w:uiPriority w:val="99"/>
    <w:qFormat/>
    <w:pPr>
      <w:ind w:left="357"/>
      <w:jc w:val="left"/>
      <w:spacing w:line="436" w:lineRule="exact"/>
      <w:outlineLvl w:val="3"/>
    </w:pPr>
    <w:rPr>
      <w:rFonts w:ascii="Tahoma" w:hAnsi="Tahoma"/>
      <w:b/>
      <w:sz w:val="24"/>
      <w:szCs w:val="24"/>
    </w:rPr>
  </w:style>
  <w:style w:type="paragraph" w:styleId="1182">
    <w:name w:val="List Paragraph"/>
    <w:basedOn w:val="1029"/>
    <w:uiPriority w:val="34"/>
    <w:qFormat/>
    <w:pPr>
      <w:numPr>
        <w:ilvl w:val="0"/>
        <w:numId w:val="2"/>
      </w:numPr>
      <w:spacing w:line="360" w:lineRule="auto"/>
    </w:pPr>
    <w:rPr>
      <w:rFonts w:eastAsia="宋体" w:cs="宋体" w:asciiTheme="minorEastAsia" w:hAnsiTheme="minorEastAsia"/>
      <w:b/>
      <w:sz w:val="24"/>
      <w:szCs w:val="20"/>
    </w:rPr>
  </w:style>
  <w:style w:type="paragraph" w:styleId="1183" w:customStyle="1">
    <w:name w:val="修订1"/>
    <w:hidden/>
    <w:uiPriority w:val="99"/>
    <w:semiHidden/>
    <w:qFormat/>
    <w:rPr>
      <w:rFonts w:ascii="Times New Roman" w:hAnsi="Times New Roman" w:eastAsia="宋体" w:cs="Times New Roman"/>
      <w:sz w:val="21"/>
      <w:lang w:val="en-US" w:eastAsia="zh-CN" w:bidi="ar-SA"/>
    </w:rPr>
  </w:style>
  <w:style w:type="character" w:styleId="1184" w:customStyle="1">
    <w:name w:val="批注框文本 Char1"/>
    <w:basedOn w:val="1039"/>
    <w:link w:val="1058"/>
    <w:uiPriority w:val="99"/>
    <w:semiHidden/>
    <w:qFormat/>
    <w:rPr>
      <w:rFonts w:ascii="Times New Roman" w:hAnsi="Times New Roman" w:eastAsia="宋体" w:cs="Times New Roman"/>
      <w:sz w:val="18"/>
      <w:szCs w:val="18"/>
    </w:rPr>
  </w:style>
  <w:style w:type="character" w:styleId="1185" w:customStyle="1">
    <w:name w:val="批注文字 Char1"/>
    <w:basedOn w:val="1039"/>
    <w:link w:val="1048"/>
    <w:uiPriority w:val="99"/>
    <w:semiHidden/>
    <w:qFormat/>
  </w:style>
  <w:style w:type="character" w:styleId="1186" w:customStyle="1">
    <w:name w:val="批注主题 Char1"/>
    <w:basedOn w:val="1185"/>
    <w:link w:val="1074"/>
    <w:uiPriority w:val="99"/>
    <w:semiHidden/>
    <w:qFormat/>
    <w:rPr>
      <w:b/>
      <w:bCs/>
    </w:rPr>
  </w:style>
  <w:style w:type="paragraph" w:styleId="1187" w:customStyle="1">
    <w:name w:val="列表段落1"/>
    <w:basedOn w:val="1029"/>
    <w:uiPriority w:val="34"/>
    <w:qFormat/>
    <w:pPr>
      <w:ind w:firstLine="420"/>
    </w:pPr>
  </w:style>
  <w:style w:type="paragraph" w:styleId="1188" w:customStyle="1">
    <w:name w:val="样式 小四 段前: 5 磅 段后: 5 磅 首行缩进:  2 字符"/>
    <w:basedOn w:val="1029"/>
    <w:uiPriority w:val="0"/>
    <w:qFormat/>
    <w:pPr>
      <w:spacing w:line="360" w:lineRule="auto"/>
    </w:pPr>
    <w:rPr>
      <w:rFonts w:ascii="宋体" w:hAnsi="宋体"/>
      <w:szCs w:val="21"/>
    </w:rPr>
  </w:style>
  <w:style w:type="character" w:styleId="1189" w:customStyle="1">
    <w:name w:val="正文首行缩进 2 Char1"/>
    <w:basedOn w:val="1118"/>
    <w:link w:val="1076"/>
    <w:uiPriority w:val="99"/>
    <w:semiHidden/>
    <w:qFormat/>
    <w:rPr>
      <w:rFonts w:ascii="Times New Roman" w:hAnsi="Times New Roman" w:eastAsia="宋体" w:cs="Times New Roman"/>
      <w:b w:val="0"/>
      <w:sz w:val="21"/>
      <w:szCs w:val="22"/>
    </w:rPr>
  </w:style>
  <w:style w:type="table" w:styleId="1190" w:customStyle="1">
    <w:name w:val="网格型1"/>
    <w:basedOn w:val="10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1" w:customStyle="1">
    <w:name w:val="网格型2"/>
    <w:basedOn w:val="10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2" w:customStyle="1">
    <w:name w:val="网格型3"/>
    <w:basedOn w:val="10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3" w:customStyle="1">
    <w:name w:val="网格型4"/>
    <w:basedOn w:val="10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4" w:customStyle="1">
    <w:name w:val="List Paragraph1"/>
    <w:basedOn w:val="1029"/>
    <w:uiPriority w:val="0"/>
    <w:qFormat/>
    <w:pPr>
      <w:ind w:firstLine="420"/>
    </w:pPr>
    <w:rPr>
      <w:szCs w:val="21"/>
    </w:rPr>
  </w:style>
  <w:style w:type="paragraph" w:styleId="1195" w:customStyle="1">
    <w:name w:val="标题 31"/>
    <w:basedOn w:val="1029"/>
    <w:next w:val="1029"/>
    <w:link w:val="1196"/>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196" w:customStyle="1">
    <w:name w:val="标题 3 Char"/>
    <w:link w:val="1195"/>
    <w:uiPriority w:val="0"/>
    <w:qFormat/>
    <w:rPr>
      <w:rFonts w:ascii="Times New Roman" w:hAnsi="Times New Roman" w:eastAsia="宋体" w:cs="Times New Roman"/>
      <w:b/>
      <w:bCs/>
      <w:sz w:val="32"/>
      <w:szCs w:val="32"/>
      <w:lang w:eastAsia="en-US"/>
    </w:rPr>
  </w:style>
  <w:style w:type="character" w:styleId="1197" w:customStyle="1">
    <w:name w:val="标题 6 Char1"/>
    <w:basedOn w:val="1039"/>
    <w:link w:val="1035"/>
    <w:uiPriority w:val="9"/>
    <w:qFormat/>
    <w:rPr>
      <w:rFonts w:ascii="Arial" w:hAnsi="Arial" w:eastAsia="Arial" w:cs="Arial"/>
      <w:b/>
      <w:bCs/>
      <w:sz w:val="22"/>
      <w:szCs w:val="22"/>
    </w:rPr>
  </w:style>
  <w:style w:type="character" w:styleId="1198" w:customStyle="1">
    <w:name w:val="标题 7 Char1"/>
    <w:basedOn w:val="1039"/>
    <w:link w:val="1036"/>
    <w:uiPriority w:val="9"/>
    <w:qFormat/>
    <w:rPr>
      <w:rFonts w:ascii="Arial" w:hAnsi="Arial" w:eastAsia="Arial" w:cs="Arial"/>
      <w:b/>
      <w:bCs/>
      <w:i/>
      <w:iCs/>
      <w:sz w:val="22"/>
      <w:szCs w:val="22"/>
    </w:rPr>
  </w:style>
  <w:style w:type="character" w:styleId="1199" w:customStyle="1">
    <w:name w:val="标题 8 Char1"/>
    <w:basedOn w:val="1039"/>
    <w:link w:val="1037"/>
    <w:uiPriority w:val="9"/>
    <w:qFormat/>
    <w:rPr>
      <w:rFonts w:ascii="Arial" w:hAnsi="Arial" w:eastAsia="Arial" w:cs="Arial"/>
      <w:i/>
      <w:iCs/>
      <w:sz w:val="22"/>
      <w:szCs w:val="22"/>
    </w:rPr>
  </w:style>
  <w:style w:type="character" w:styleId="1200" w:customStyle="1">
    <w:name w:val="标题 9 Char1"/>
    <w:basedOn w:val="1039"/>
    <w:link w:val="1038"/>
    <w:uiPriority w:val="9"/>
    <w:qFormat/>
    <w:rPr>
      <w:rFonts w:ascii="Arial" w:hAnsi="Arial" w:eastAsia="Arial" w:cs="Arial"/>
      <w:i/>
      <w:iCs/>
      <w:sz w:val="21"/>
      <w:szCs w:val="21"/>
    </w:rPr>
  </w:style>
  <w:style w:type="character" w:styleId="1201" w:customStyle="1">
    <w:name w:val="Heading 1 Char"/>
    <w:uiPriority w:val="9"/>
    <w:qFormat/>
    <w:rPr>
      <w:rFonts w:ascii="Arial" w:hAnsi="Arial" w:eastAsia="Arial" w:cs="Arial"/>
      <w:sz w:val="40"/>
      <w:szCs w:val="40"/>
    </w:rPr>
  </w:style>
  <w:style w:type="character" w:styleId="1202" w:customStyle="1">
    <w:name w:val="Heading 2 Char"/>
    <w:uiPriority w:val="9"/>
    <w:qFormat/>
    <w:rPr>
      <w:rFonts w:ascii="Arial" w:hAnsi="Arial" w:eastAsia="Arial" w:cs="Arial"/>
      <w:sz w:val="34"/>
    </w:rPr>
  </w:style>
  <w:style w:type="character" w:styleId="1203" w:customStyle="1">
    <w:name w:val="Heading 3 Char"/>
    <w:uiPriority w:val="9"/>
    <w:qFormat/>
    <w:rPr>
      <w:rFonts w:ascii="Arial" w:hAnsi="Arial" w:eastAsia="Arial" w:cs="Arial"/>
      <w:sz w:val="30"/>
      <w:szCs w:val="30"/>
    </w:rPr>
  </w:style>
  <w:style w:type="character" w:styleId="1204" w:customStyle="1">
    <w:name w:val="Heading 4 Char"/>
    <w:uiPriority w:val="9"/>
    <w:qFormat/>
    <w:rPr>
      <w:rFonts w:ascii="Arial" w:hAnsi="Arial" w:eastAsia="Arial" w:cs="Arial"/>
      <w:b/>
      <w:bCs/>
      <w:sz w:val="26"/>
      <w:szCs w:val="26"/>
    </w:rPr>
  </w:style>
  <w:style w:type="character" w:styleId="1205" w:customStyle="1">
    <w:name w:val="Heading 5 Char"/>
    <w:uiPriority w:val="9"/>
    <w:qFormat/>
    <w:rPr>
      <w:rFonts w:ascii="Arial" w:hAnsi="Arial" w:eastAsia="Arial" w:cs="Arial"/>
      <w:b/>
      <w:bCs/>
      <w:sz w:val="24"/>
      <w:szCs w:val="24"/>
    </w:rPr>
  </w:style>
  <w:style w:type="character" w:styleId="1206" w:customStyle="1">
    <w:name w:val="Heading 6 Char"/>
    <w:uiPriority w:val="9"/>
    <w:qFormat/>
    <w:rPr>
      <w:rFonts w:ascii="Arial" w:hAnsi="Arial" w:eastAsia="Arial" w:cs="Arial"/>
      <w:b/>
      <w:bCs/>
      <w:sz w:val="22"/>
      <w:szCs w:val="22"/>
    </w:rPr>
  </w:style>
  <w:style w:type="character" w:styleId="1207" w:customStyle="1">
    <w:name w:val="Heading 7 Char"/>
    <w:uiPriority w:val="9"/>
    <w:qFormat/>
    <w:rPr>
      <w:rFonts w:ascii="Arial" w:hAnsi="Arial" w:eastAsia="Arial" w:cs="Arial"/>
      <w:b/>
      <w:bCs/>
      <w:i/>
      <w:iCs/>
      <w:sz w:val="22"/>
      <w:szCs w:val="22"/>
    </w:rPr>
  </w:style>
  <w:style w:type="character" w:styleId="1208" w:customStyle="1">
    <w:name w:val="Heading 8 Char"/>
    <w:uiPriority w:val="9"/>
    <w:qFormat/>
    <w:rPr>
      <w:rFonts w:ascii="Arial" w:hAnsi="Arial" w:eastAsia="Arial" w:cs="Arial"/>
      <w:i/>
      <w:iCs/>
      <w:sz w:val="22"/>
      <w:szCs w:val="22"/>
    </w:rPr>
  </w:style>
  <w:style w:type="character" w:styleId="1209" w:customStyle="1">
    <w:name w:val="Heading 9 Char"/>
    <w:uiPriority w:val="9"/>
    <w:qFormat/>
    <w:rPr>
      <w:rFonts w:ascii="Arial" w:hAnsi="Arial" w:eastAsia="Arial" w:cs="Arial"/>
      <w:i/>
      <w:iCs/>
      <w:sz w:val="21"/>
      <w:szCs w:val="21"/>
    </w:rPr>
  </w:style>
  <w:style w:type="paragraph" w:styleId="1210">
    <w:name w:val="No Spacing"/>
    <w:uiPriority w:val="1"/>
    <w:qFormat/>
    <w:rPr>
      <w:rFonts w:ascii="Calibri" w:hAnsi="Calibri" w:eastAsia="宋体" w:cs="Times New Roman"/>
      <w:lang w:val="en-US" w:eastAsia="zh-CN" w:bidi="ar-SA"/>
    </w:rPr>
  </w:style>
  <w:style w:type="character" w:styleId="1211" w:customStyle="1">
    <w:name w:val="标题 Char"/>
    <w:basedOn w:val="1039"/>
    <w:link w:val="1073"/>
    <w:uiPriority w:val="10"/>
    <w:qFormat/>
    <w:rPr>
      <w:rFonts w:ascii="Times New Roman" w:hAnsi="Times New Roman" w:eastAsia="宋体" w:cs="Times New Roman"/>
      <w:sz w:val="48"/>
      <w:szCs w:val="48"/>
    </w:rPr>
  </w:style>
  <w:style w:type="character" w:styleId="1212" w:customStyle="1">
    <w:name w:val="Title Char"/>
    <w:uiPriority w:val="10"/>
    <w:qFormat/>
    <w:rPr>
      <w:sz w:val="48"/>
      <w:szCs w:val="48"/>
    </w:rPr>
  </w:style>
  <w:style w:type="character" w:styleId="1213" w:customStyle="1">
    <w:name w:val="Subtitle Char"/>
    <w:uiPriority w:val="11"/>
    <w:qFormat/>
    <w:rPr>
      <w:sz w:val="24"/>
      <w:szCs w:val="24"/>
    </w:rPr>
  </w:style>
  <w:style w:type="paragraph" w:styleId="1214">
    <w:name w:val="Quote"/>
    <w:basedOn w:val="1029"/>
    <w:next w:val="1029"/>
    <w:link w:val="1215"/>
    <w:uiPriority w:val="29"/>
    <w:qFormat/>
    <w:pPr>
      <w:ind w:left="720" w:right="720"/>
    </w:pPr>
    <w:rPr>
      <w:rFonts w:ascii="Times New Roman" w:hAnsi="Times New Roman" w:eastAsia="宋体" w:cs="Times New Roman"/>
      <w:i/>
      <w:szCs w:val="21"/>
    </w:rPr>
  </w:style>
  <w:style w:type="character" w:styleId="1215" w:customStyle="1">
    <w:name w:val="引用 Char"/>
    <w:basedOn w:val="1039"/>
    <w:link w:val="1214"/>
    <w:uiPriority w:val="29"/>
    <w:qFormat/>
    <w:rPr>
      <w:rFonts w:ascii="Times New Roman" w:hAnsi="Times New Roman" w:eastAsia="宋体" w:cs="Times New Roman"/>
      <w:i/>
      <w:sz w:val="21"/>
      <w:szCs w:val="21"/>
    </w:rPr>
  </w:style>
  <w:style w:type="character" w:styleId="1216" w:customStyle="1">
    <w:name w:val="Quote Char"/>
    <w:uiPriority w:val="29"/>
    <w:qFormat/>
    <w:rPr>
      <w:i/>
    </w:rPr>
  </w:style>
  <w:style w:type="paragraph" w:styleId="1217">
    <w:name w:val="Intense Quote"/>
    <w:basedOn w:val="1029"/>
    <w:next w:val="1029"/>
    <w:link w:val="12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1218" w:customStyle="1">
    <w:name w:val="明显引用 Char"/>
    <w:basedOn w:val="1039"/>
    <w:link w:val="1217"/>
    <w:uiPriority w:val="30"/>
    <w:qFormat/>
    <w:rPr>
      <w:rFonts w:ascii="Times New Roman" w:hAnsi="Times New Roman" w:eastAsia="宋体" w:cs="Times New Roman"/>
      <w:i/>
      <w:sz w:val="21"/>
      <w:szCs w:val="21"/>
      <w:shd w:val="clear" w:color="auto" w:fill="f2f2f2"/>
    </w:rPr>
  </w:style>
  <w:style w:type="character" w:styleId="1219" w:customStyle="1">
    <w:name w:val="Intense Quote Char"/>
    <w:uiPriority w:val="30"/>
    <w:qFormat/>
    <w:rPr>
      <w:i/>
    </w:rPr>
  </w:style>
  <w:style w:type="character" w:styleId="1220" w:customStyle="1">
    <w:name w:val="Header Char"/>
    <w:uiPriority w:val="99"/>
    <w:qFormat/>
  </w:style>
  <w:style w:type="character" w:styleId="1221" w:customStyle="1">
    <w:name w:val="Footer Char"/>
    <w:uiPriority w:val="99"/>
    <w:qFormat/>
  </w:style>
  <w:style w:type="character" w:styleId="1222" w:customStyle="1">
    <w:name w:val="Caption Char"/>
    <w:uiPriority w:val="99"/>
    <w:qFormat/>
  </w:style>
  <w:style w:type="character" w:styleId="1223" w:customStyle="1">
    <w:name w:val="脚注文本 Char"/>
    <w:basedOn w:val="1039"/>
    <w:link w:val="1066"/>
    <w:uiPriority w:val="99"/>
    <w:qFormat/>
    <w:rPr>
      <w:rFonts w:ascii="Times New Roman" w:hAnsi="Times New Roman" w:eastAsia="宋体" w:cs="Times New Roman"/>
      <w:sz w:val="18"/>
      <w:szCs w:val="21"/>
    </w:rPr>
  </w:style>
  <w:style w:type="character" w:styleId="1224" w:customStyle="1">
    <w:name w:val="Footnote Text Char"/>
    <w:uiPriority w:val="99"/>
    <w:qFormat/>
    <w:rPr>
      <w:sz w:val="18"/>
    </w:rPr>
  </w:style>
  <w:style w:type="character" w:styleId="1225" w:customStyle="1">
    <w:name w:val="尾注文本 Char"/>
    <w:basedOn w:val="1039"/>
    <w:link w:val="1057"/>
    <w:uiPriority w:val="99"/>
    <w:qFormat/>
    <w:rPr>
      <w:rFonts w:ascii="Times New Roman" w:hAnsi="Times New Roman" w:eastAsia="宋体" w:cs="Times New Roman"/>
      <w:szCs w:val="21"/>
    </w:rPr>
  </w:style>
  <w:style w:type="character" w:styleId="1226" w:customStyle="1">
    <w:name w:val="Endnote Text Char"/>
    <w:uiPriority w:val="99"/>
    <w:qFormat/>
    <w:rPr>
      <w:sz w:val="20"/>
    </w:rPr>
  </w:style>
  <w:style w:type="paragraph" w:styleId="1227" w:customStyle="1">
    <w:name w:val="目录 71"/>
    <w:basedOn w:val="1029"/>
    <w:next w:val="1029"/>
    <w:uiPriority w:val="39"/>
    <w:unhideWhenUsed/>
    <w:qFormat/>
    <w:pPr>
      <w:ind w:left="1701"/>
      <w:spacing w:after="57"/>
    </w:pPr>
    <w:rPr>
      <w:rFonts w:ascii="Times New Roman" w:hAnsi="Times New Roman" w:eastAsia="宋体" w:cs="Times New Roman"/>
      <w:szCs w:val="21"/>
    </w:rPr>
  </w:style>
  <w:style w:type="paragraph" w:styleId="1228" w:customStyle="1">
    <w:name w:val="目录 51"/>
    <w:basedOn w:val="1029"/>
    <w:next w:val="1029"/>
    <w:uiPriority w:val="39"/>
    <w:unhideWhenUsed/>
    <w:qFormat/>
    <w:pPr>
      <w:ind w:left="1134"/>
      <w:spacing w:after="57"/>
    </w:pPr>
    <w:rPr>
      <w:rFonts w:ascii="Times New Roman" w:hAnsi="Times New Roman" w:eastAsia="宋体" w:cs="Times New Roman"/>
      <w:szCs w:val="21"/>
    </w:rPr>
  </w:style>
  <w:style w:type="paragraph" w:styleId="1229" w:customStyle="1">
    <w:name w:val="目录 31"/>
    <w:basedOn w:val="1029"/>
    <w:next w:val="1029"/>
    <w:uiPriority w:val="39"/>
    <w:unhideWhenUsed/>
    <w:qFormat/>
    <w:pPr>
      <w:ind w:left="567"/>
      <w:spacing w:after="57"/>
    </w:pPr>
    <w:rPr>
      <w:rFonts w:ascii="Times New Roman" w:hAnsi="Times New Roman" w:eastAsia="宋体" w:cs="Times New Roman"/>
      <w:szCs w:val="21"/>
    </w:rPr>
  </w:style>
  <w:style w:type="paragraph" w:styleId="1230" w:customStyle="1">
    <w:name w:val="目录 81"/>
    <w:basedOn w:val="1029"/>
    <w:next w:val="1029"/>
    <w:uiPriority w:val="39"/>
    <w:unhideWhenUsed/>
    <w:qFormat/>
    <w:pPr>
      <w:ind w:left="1984"/>
      <w:spacing w:after="57"/>
    </w:pPr>
    <w:rPr>
      <w:rFonts w:ascii="Times New Roman" w:hAnsi="Times New Roman" w:eastAsia="宋体" w:cs="Times New Roman"/>
      <w:szCs w:val="21"/>
    </w:rPr>
  </w:style>
  <w:style w:type="character" w:styleId="1231" w:customStyle="1">
    <w:name w:val="页脚 字符1"/>
    <w:uiPriority w:val="99"/>
    <w:qFormat/>
  </w:style>
  <w:style w:type="paragraph" w:styleId="1232" w:customStyle="1">
    <w:name w:val="目录 11"/>
    <w:basedOn w:val="1029"/>
    <w:next w:val="1029"/>
    <w:uiPriority w:val="39"/>
    <w:unhideWhenUsed/>
    <w:qFormat/>
    <w:pPr>
      <w:spacing w:after="57"/>
    </w:pPr>
    <w:rPr>
      <w:rFonts w:ascii="Times New Roman" w:hAnsi="Times New Roman" w:eastAsia="宋体" w:cs="Times New Roman"/>
      <w:szCs w:val="21"/>
    </w:rPr>
  </w:style>
  <w:style w:type="paragraph" w:styleId="1233" w:customStyle="1">
    <w:name w:val="目录 41"/>
    <w:basedOn w:val="1029"/>
    <w:next w:val="1029"/>
    <w:uiPriority w:val="39"/>
    <w:unhideWhenUsed/>
    <w:qFormat/>
    <w:pPr>
      <w:ind w:left="850"/>
      <w:spacing w:after="57"/>
    </w:pPr>
    <w:rPr>
      <w:rFonts w:ascii="Times New Roman" w:hAnsi="Times New Roman" w:eastAsia="宋体" w:cs="Times New Roman"/>
      <w:szCs w:val="21"/>
    </w:rPr>
  </w:style>
  <w:style w:type="character" w:styleId="1234" w:customStyle="1">
    <w:name w:val="副标题 Char"/>
    <w:link w:val="1064"/>
    <w:uiPriority w:val="11"/>
    <w:qFormat/>
    <w:rPr>
      <w:rFonts w:ascii="Arial" w:hAnsi="Arial"/>
      <w:b/>
      <w:bCs/>
      <w:sz w:val="32"/>
      <w:szCs w:val="32"/>
    </w:rPr>
  </w:style>
  <w:style w:type="paragraph" w:styleId="1235" w:customStyle="1">
    <w:name w:val="目录 61"/>
    <w:basedOn w:val="1029"/>
    <w:next w:val="1029"/>
    <w:uiPriority w:val="39"/>
    <w:unhideWhenUsed/>
    <w:qFormat/>
    <w:pPr>
      <w:ind w:left="1417"/>
      <w:spacing w:after="57"/>
    </w:pPr>
    <w:rPr>
      <w:rFonts w:ascii="Times New Roman" w:hAnsi="Times New Roman" w:eastAsia="宋体" w:cs="Times New Roman"/>
      <w:szCs w:val="21"/>
    </w:rPr>
  </w:style>
  <w:style w:type="paragraph" w:styleId="1236" w:customStyle="1">
    <w:name w:val="目录 21"/>
    <w:basedOn w:val="1029"/>
    <w:next w:val="1029"/>
    <w:uiPriority w:val="39"/>
    <w:unhideWhenUsed/>
    <w:qFormat/>
    <w:pPr>
      <w:ind w:left="283"/>
      <w:spacing w:after="57"/>
    </w:pPr>
    <w:rPr>
      <w:rFonts w:ascii="Times New Roman" w:hAnsi="Times New Roman" w:eastAsia="宋体" w:cs="Times New Roman"/>
      <w:szCs w:val="21"/>
    </w:rPr>
  </w:style>
  <w:style w:type="paragraph" w:styleId="1237" w:customStyle="1">
    <w:name w:val="目录 91"/>
    <w:basedOn w:val="1029"/>
    <w:next w:val="1029"/>
    <w:uiPriority w:val="39"/>
    <w:unhideWhenUsed/>
    <w:qFormat/>
    <w:pPr>
      <w:ind w:left="2268"/>
      <w:spacing w:after="57"/>
    </w:pPr>
    <w:rPr>
      <w:rFonts w:ascii="Times New Roman" w:hAnsi="Times New Roman" w:eastAsia="宋体" w:cs="Times New Roman"/>
      <w:szCs w:val="21"/>
    </w:rPr>
  </w:style>
  <w:style w:type="character" w:styleId="1238" w:customStyle="1">
    <w:name w:val="font5 Char"/>
    <w:uiPriority w:val="0"/>
    <w:qFormat/>
    <w:rPr>
      <w:rFonts w:ascii="宋体" w:hAnsi="宋体" w:eastAsia="宋体"/>
      <w:sz w:val="28"/>
      <w:szCs w:val="28"/>
      <w:lang w:val="en-US" w:eastAsia="zh-CN" w:bidi="ar-SA"/>
    </w:rPr>
  </w:style>
  <w:style w:type="paragraph" w:styleId="1239" w:customStyle="1">
    <w:name w:val="列出段落2"/>
    <w:basedOn w:val="1029"/>
    <w:uiPriority w:val="34"/>
    <w:qFormat/>
    <w:pPr>
      <w:contextualSpacing/>
      <w:ind w:left="720"/>
    </w:pPr>
    <w:rPr>
      <w:rFonts w:ascii="Times New Roman" w:hAnsi="Times New Roman" w:eastAsia="宋体" w:cs="Times New Roman"/>
      <w:szCs w:val="21"/>
    </w:rPr>
  </w:style>
  <w:style w:type="table" w:styleId="1240" w:customStyle="1">
    <w:name w:val="Table Grid Light"/>
    <w:uiPriority w:val="59"/>
    <w:qFormat/>
    <w:rPr>
      <w:rFonts w:ascii="Calibri" w:hAnsi="Calibri"/>
    </w:rPr>
    <w:tblPr>
      <w:tblCellMar>
        <w:left w:w="0" w:type="dxa"/>
        <w:top w:w="0" w:type="dxa"/>
        <w:right w:w="0" w:type="dxa"/>
        <w:bottom w:w="0" w:type="dxa"/>
      </w:tblCellMar>
    </w:tblPr>
  </w:style>
  <w:style w:type="table" w:styleId="1241" w:customStyle="1">
    <w:name w:val="Grid Table 1 Light - Accent 1"/>
    <w:uiPriority w:val="99"/>
    <w:qFormat/>
    <w:rPr>
      <w:rFonts w:ascii="Calibri" w:hAnsi="Calibri"/>
    </w:rPr>
    <w:tblPr>
      <w:tblCellMar>
        <w:left w:w="0" w:type="dxa"/>
        <w:top w:w="0" w:type="dxa"/>
        <w:right w:w="0" w:type="dxa"/>
        <w:bottom w:w="0" w:type="dxa"/>
      </w:tblCellMar>
    </w:tblPr>
  </w:style>
  <w:style w:type="table" w:styleId="1242" w:customStyle="1">
    <w:name w:val="Grid Table 1 Light - Accent 2"/>
    <w:uiPriority w:val="99"/>
    <w:qFormat/>
    <w:rPr>
      <w:rFonts w:ascii="Calibri" w:hAnsi="Calibri"/>
    </w:rPr>
    <w:tblPr>
      <w:tblCellMar>
        <w:left w:w="0" w:type="dxa"/>
        <w:top w:w="0" w:type="dxa"/>
        <w:right w:w="0" w:type="dxa"/>
        <w:bottom w:w="0" w:type="dxa"/>
      </w:tblCellMar>
    </w:tblPr>
  </w:style>
  <w:style w:type="table" w:styleId="1243" w:customStyle="1">
    <w:name w:val="Grid Table 1 Light - Accent 3"/>
    <w:uiPriority w:val="99"/>
    <w:qFormat/>
    <w:rPr>
      <w:rFonts w:ascii="Calibri" w:hAnsi="Calibri"/>
    </w:rPr>
    <w:tblPr>
      <w:tblCellMar>
        <w:left w:w="0" w:type="dxa"/>
        <w:top w:w="0" w:type="dxa"/>
        <w:right w:w="0" w:type="dxa"/>
        <w:bottom w:w="0" w:type="dxa"/>
      </w:tblCellMar>
    </w:tblPr>
  </w:style>
  <w:style w:type="table" w:styleId="1244" w:customStyle="1">
    <w:name w:val="Grid Table 1 Light - Accent 4"/>
    <w:uiPriority w:val="99"/>
    <w:qFormat/>
    <w:rPr>
      <w:rFonts w:ascii="Calibri" w:hAnsi="Calibri"/>
    </w:rPr>
    <w:tblPr>
      <w:tblCellMar>
        <w:left w:w="0" w:type="dxa"/>
        <w:top w:w="0" w:type="dxa"/>
        <w:right w:w="0" w:type="dxa"/>
        <w:bottom w:w="0" w:type="dxa"/>
      </w:tblCellMar>
    </w:tblPr>
  </w:style>
  <w:style w:type="table" w:styleId="1245" w:customStyle="1">
    <w:name w:val="Grid Table 1 Light - Accent 5"/>
    <w:uiPriority w:val="99"/>
    <w:qFormat/>
    <w:rPr>
      <w:rFonts w:ascii="Calibri" w:hAnsi="Calibri"/>
    </w:rPr>
    <w:tblPr>
      <w:tblCellMar>
        <w:left w:w="0" w:type="dxa"/>
        <w:top w:w="0" w:type="dxa"/>
        <w:right w:w="0" w:type="dxa"/>
        <w:bottom w:w="0" w:type="dxa"/>
      </w:tblCellMar>
    </w:tblPr>
  </w:style>
  <w:style w:type="table" w:styleId="1246" w:customStyle="1">
    <w:name w:val="Grid Table 1 Light - Accent 6"/>
    <w:uiPriority w:val="99"/>
    <w:qFormat/>
    <w:rPr>
      <w:rFonts w:ascii="Calibri" w:hAnsi="Calibri"/>
    </w:rPr>
    <w:tblPr>
      <w:tblCellMar>
        <w:left w:w="0" w:type="dxa"/>
        <w:top w:w="0" w:type="dxa"/>
        <w:right w:w="0" w:type="dxa"/>
        <w:bottom w:w="0" w:type="dxa"/>
      </w:tblCellMar>
    </w:tblPr>
  </w:style>
  <w:style w:type="table" w:styleId="1247" w:customStyle="1">
    <w:name w:val="Grid Table 2 - Accent 1"/>
    <w:uiPriority w:val="99"/>
    <w:qFormat/>
    <w:rPr>
      <w:rFonts w:ascii="Calibri" w:hAnsi="Calibri"/>
    </w:rPr>
    <w:tblPr>
      <w:tblCellMar>
        <w:left w:w="0" w:type="dxa"/>
        <w:top w:w="0" w:type="dxa"/>
        <w:right w:w="0" w:type="dxa"/>
        <w:bottom w:w="0" w:type="dxa"/>
      </w:tblCellMar>
    </w:tblPr>
  </w:style>
  <w:style w:type="table" w:styleId="1248" w:customStyle="1">
    <w:name w:val="Grid Table 2 - Accent 2"/>
    <w:uiPriority w:val="99"/>
    <w:qFormat/>
    <w:rPr>
      <w:rFonts w:ascii="Calibri" w:hAnsi="Calibri"/>
    </w:rPr>
    <w:tblPr>
      <w:tblCellMar>
        <w:left w:w="0" w:type="dxa"/>
        <w:top w:w="0" w:type="dxa"/>
        <w:right w:w="0" w:type="dxa"/>
        <w:bottom w:w="0" w:type="dxa"/>
      </w:tblCellMar>
    </w:tblPr>
  </w:style>
  <w:style w:type="table" w:styleId="1249" w:customStyle="1">
    <w:name w:val="Grid Table 2 - Accent 3"/>
    <w:uiPriority w:val="99"/>
    <w:qFormat/>
    <w:rPr>
      <w:rFonts w:ascii="Calibri" w:hAnsi="Calibri"/>
    </w:rPr>
    <w:tblPr>
      <w:tblCellMar>
        <w:left w:w="0" w:type="dxa"/>
        <w:top w:w="0" w:type="dxa"/>
        <w:right w:w="0" w:type="dxa"/>
        <w:bottom w:w="0" w:type="dxa"/>
      </w:tblCellMar>
    </w:tblPr>
  </w:style>
  <w:style w:type="table" w:styleId="1250" w:customStyle="1">
    <w:name w:val="Grid Table 2 - Accent 4"/>
    <w:uiPriority w:val="99"/>
    <w:qFormat/>
    <w:rPr>
      <w:rFonts w:ascii="Calibri" w:hAnsi="Calibri"/>
    </w:rPr>
    <w:tblPr>
      <w:tblCellMar>
        <w:left w:w="0" w:type="dxa"/>
        <w:top w:w="0" w:type="dxa"/>
        <w:right w:w="0" w:type="dxa"/>
        <w:bottom w:w="0" w:type="dxa"/>
      </w:tblCellMar>
    </w:tblPr>
  </w:style>
  <w:style w:type="table" w:styleId="1251" w:customStyle="1">
    <w:name w:val="Grid Table 2 - Accent 5"/>
    <w:uiPriority w:val="99"/>
    <w:qFormat/>
    <w:rPr>
      <w:rFonts w:ascii="Calibri" w:hAnsi="Calibri"/>
    </w:rPr>
    <w:tblPr>
      <w:tblCellMar>
        <w:left w:w="0" w:type="dxa"/>
        <w:top w:w="0" w:type="dxa"/>
        <w:right w:w="0" w:type="dxa"/>
        <w:bottom w:w="0" w:type="dxa"/>
      </w:tblCellMar>
    </w:tblPr>
  </w:style>
  <w:style w:type="table" w:styleId="1252" w:customStyle="1">
    <w:name w:val="Grid Table 2 - Accent 6"/>
    <w:uiPriority w:val="99"/>
    <w:qFormat/>
    <w:rPr>
      <w:rFonts w:ascii="Calibri" w:hAnsi="Calibri"/>
    </w:rPr>
    <w:tblPr>
      <w:tblCellMar>
        <w:left w:w="0" w:type="dxa"/>
        <w:top w:w="0" w:type="dxa"/>
        <w:right w:w="0" w:type="dxa"/>
        <w:bottom w:w="0" w:type="dxa"/>
      </w:tblCellMar>
    </w:tblPr>
  </w:style>
  <w:style w:type="table" w:styleId="1253" w:customStyle="1">
    <w:name w:val="Grid Table 3 - Accent 1"/>
    <w:uiPriority w:val="99"/>
    <w:qFormat/>
    <w:rPr>
      <w:rFonts w:ascii="Calibri" w:hAnsi="Calibri"/>
    </w:rPr>
    <w:tblPr>
      <w:tblCellMar>
        <w:left w:w="0" w:type="dxa"/>
        <w:top w:w="0" w:type="dxa"/>
        <w:right w:w="0" w:type="dxa"/>
        <w:bottom w:w="0" w:type="dxa"/>
      </w:tblCellMar>
    </w:tblPr>
  </w:style>
  <w:style w:type="table" w:styleId="1254" w:customStyle="1">
    <w:name w:val="Grid Table 3 - Accent 2"/>
    <w:uiPriority w:val="99"/>
    <w:qFormat/>
    <w:rPr>
      <w:rFonts w:ascii="Calibri" w:hAnsi="Calibri"/>
    </w:rPr>
    <w:tblPr>
      <w:tblCellMar>
        <w:left w:w="0" w:type="dxa"/>
        <w:top w:w="0" w:type="dxa"/>
        <w:right w:w="0" w:type="dxa"/>
        <w:bottom w:w="0" w:type="dxa"/>
      </w:tblCellMar>
    </w:tblPr>
  </w:style>
  <w:style w:type="table" w:styleId="1255" w:customStyle="1">
    <w:name w:val="Grid Table 3 - Accent 3"/>
    <w:uiPriority w:val="99"/>
    <w:qFormat/>
    <w:rPr>
      <w:rFonts w:ascii="Calibri" w:hAnsi="Calibri"/>
    </w:rPr>
    <w:tblPr>
      <w:tblCellMar>
        <w:left w:w="0" w:type="dxa"/>
        <w:top w:w="0" w:type="dxa"/>
        <w:right w:w="0" w:type="dxa"/>
        <w:bottom w:w="0" w:type="dxa"/>
      </w:tblCellMar>
    </w:tblPr>
  </w:style>
  <w:style w:type="table" w:styleId="1256" w:customStyle="1">
    <w:name w:val="Grid Table 3 - Accent 4"/>
    <w:uiPriority w:val="99"/>
    <w:qFormat/>
    <w:rPr>
      <w:rFonts w:ascii="Calibri" w:hAnsi="Calibri"/>
    </w:rPr>
    <w:tblPr>
      <w:tblCellMar>
        <w:left w:w="0" w:type="dxa"/>
        <w:top w:w="0" w:type="dxa"/>
        <w:right w:w="0" w:type="dxa"/>
        <w:bottom w:w="0" w:type="dxa"/>
      </w:tblCellMar>
    </w:tblPr>
  </w:style>
  <w:style w:type="table" w:styleId="1257" w:customStyle="1">
    <w:name w:val="Grid Table 3 - Accent 5"/>
    <w:uiPriority w:val="99"/>
    <w:qFormat/>
    <w:rPr>
      <w:rFonts w:ascii="Calibri" w:hAnsi="Calibri"/>
    </w:rPr>
    <w:tblPr>
      <w:tblCellMar>
        <w:left w:w="0" w:type="dxa"/>
        <w:top w:w="0" w:type="dxa"/>
        <w:right w:w="0" w:type="dxa"/>
        <w:bottom w:w="0" w:type="dxa"/>
      </w:tblCellMar>
    </w:tblPr>
  </w:style>
  <w:style w:type="table" w:styleId="1258" w:customStyle="1">
    <w:name w:val="Grid Table 3 - Accent 6"/>
    <w:uiPriority w:val="99"/>
    <w:qFormat/>
    <w:rPr>
      <w:rFonts w:ascii="Calibri" w:hAnsi="Calibri"/>
    </w:rPr>
    <w:tblPr>
      <w:tblCellMar>
        <w:left w:w="0" w:type="dxa"/>
        <w:top w:w="0" w:type="dxa"/>
        <w:right w:w="0" w:type="dxa"/>
        <w:bottom w:w="0" w:type="dxa"/>
      </w:tblCellMar>
    </w:tblPr>
  </w:style>
  <w:style w:type="table" w:styleId="1259" w:customStyle="1">
    <w:name w:val="Grid Table 4 - Accent 1"/>
    <w:uiPriority w:val="59"/>
    <w:qFormat/>
    <w:rPr>
      <w:rFonts w:ascii="Calibri" w:hAnsi="Calibri"/>
    </w:rPr>
    <w:tblPr>
      <w:tblCellMar>
        <w:left w:w="0" w:type="dxa"/>
        <w:top w:w="0" w:type="dxa"/>
        <w:right w:w="0" w:type="dxa"/>
        <w:bottom w:w="0" w:type="dxa"/>
      </w:tblCellMar>
    </w:tblPr>
  </w:style>
  <w:style w:type="table" w:styleId="1260" w:customStyle="1">
    <w:name w:val="Grid Table 4 - Accent 2"/>
    <w:uiPriority w:val="59"/>
    <w:qFormat/>
    <w:rPr>
      <w:rFonts w:ascii="Calibri" w:hAnsi="Calibri"/>
    </w:rPr>
    <w:tblPr>
      <w:tblCellMar>
        <w:left w:w="0" w:type="dxa"/>
        <w:top w:w="0" w:type="dxa"/>
        <w:right w:w="0" w:type="dxa"/>
        <w:bottom w:w="0" w:type="dxa"/>
      </w:tblCellMar>
    </w:tblPr>
  </w:style>
  <w:style w:type="table" w:styleId="1261" w:customStyle="1">
    <w:name w:val="Grid Table 4 - Accent 3"/>
    <w:uiPriority w:val="59"/>
    <w:qFormat/>
    <w:rPr>
      <w:rFonts w:ascii="Calibri" w:hAnsi="Calibri"/>
    </w:rPr>
    <w:tblPr>
      <w:tblCellMar>
        <w:left w:w="0" w:type="dxa"/>
        <w:top w:w="0" w:type="dxa"/>
        <w:right w:w="0" w:type="dxa"/>
        <w:bottom w:w="0" w:type="dxa"/>
      </w:tblCellMar>
    </w:tblPr>
  </w:style>
  <w:style w:type="table" w:styleId="1262" w:customStyle="1">
    <w:name w:val="Grid Table 4 - Accent 4"/>
    <w:uiPriority w:val="59"/>
    <w:qFormat/>
    <w:rPr>
      <w:rFonts w:ascii="Calibri" w:hAnsi="Calibri"/>
    </w:rPr>
    <w:tblPr>
      <w:tblCellMar>
        <w:left w:w="0" w:type="dxa"/>
        <w:top w:w="0" w:type="dxa"/>
        <w:right w:w="0" w:type="dxa"/>
        <w:bottom w:w="0" w:type="dxa"/>
      </w:tblCellMar>
    </w:tblPr>
  </w:style>
  <w:style w:type="table" w:styleId="1263" w:customStyle="1">
    <w:name w:val="Grid Table 4 - Accent 5"/>
    <w:uiPriority w:val="59"/>
    <w:qFormat/>
    <w:rPr>
      <w:rFonts w:ascii="Calibri" w:hAnsi="Calibri"/>
    </w:rPr>
    <w:tblPr>
      <w:tblCellMar>
        <w:left w:w="0" w:type="dxa"/>
        <w:top w:w="0" w:type="dxa"/>
        <w:right w:w="0" w:type="dxa"/>
        <w:bottom w:w="0" w:type="dxa"/>
      </w:tblCellMar>
    </w:tblPr>
  </w:style>
  <w:style w:type="table" w:styleId="1264" w:customStyle="1">
    <w:name w:val="Grid Table 4 - Accent 6"/>
    <w:uiPriority w:val="59"/>
    <w:qFormat/>
    <w:rPr>
      <w:rFonts w:ascii="Calibri" w:hAnsi="Calibri"/>
    </w:rPr>
    <w:tblPr>
      <w:tblCellMar>
        <w:left w:w="0" w:type="dxa"/>
        <w:top w:w="0" w:type="dxa"/>
        <w:right w:w="0" w:type="dxa"/>
        <w:bottom w:w="0" w:type="dxa"/>
      </w:tblCellMar>
    </w:tblPr>
  </w:style>
  <w:style w:type="table" w:styleId="1265" w:customStyle="1">
    <w:name w:val="Grid Table 5 Dark- Accent 1"/>
    <w:uiPriority w:val="99"/>
    <w:qFormat/>
    <w:rPr>
      <w:rFonts w:ascii="Calibri" w:hAnsi="Calibri"/>
    </w:rPr>
    <w:tblPr>
      <w:tblCellMar>
        <w:left w:w="0" w:type="dxa"/>
        <w:top w:w="0" w:type="dxa"/>
        <w:right w:w="0" w:type="dxa"/>
        <w:bottom w:w="0" w:type="dxa"/>
      </w:tblCellMar>
    </w:tblPr>
  </w:style>
  <w:style w:type="table" w:styleId="1266" w:customStyle="1">
    <w:name w:val="Grid Table 5 Dark - Accent 2"/>
    <w:uiPriority w:val="99"/>
    <w:qFormat/>
    <w:rPr>
      <w:rFonts w:ascii="Calibri" w:hAnsi="Calibri"/>
    </w:rPr>
    <w:tblPr>
      <w:tblCellMar>
        <w:left w:w="0" w:type="dxa"/>
        <w:top w:w="0" w:type="dxa"/>
        <w:right w:w="0" w:type="dxa"/>
        <w:bottom w:w="0" w:type="dxa"/>
      </w:tblCellMar>
    </w:tblPr>
  </w:style>
  <w:style w:type="table" w:styleId="1267" w:customStyle="1">
    <w:name w:val="Grid Table 5 Dark - Accent 3"/>
    <w:uiPriority w:val="99"/>
    <w:qFormat/>
    <w:rPr>
      <w:rFonts w:ascii="Calibri" w:hAnsi="Calibri"/>
    </w:rPr>
    <w:tblPr>
      <w:tblCellMar>
        <w:left w:w="0" w:type="dxa"/>
        <w:top w:w="0" w:type="dxa"/>
        <w:right w:w="0" w:type="dxa"/>
        <w:bottom w:w="0" w:type="dxa"/>
      </w:tblCellMar>
    </w:tblPr>
  </w:style>
  <w:style w:type="table" w:styleId="1268" w:customStyle="1">
    <w:name w:val="Grid Table 5 Dark- Accent 4"/>
    <w:uiPriority w:val="99"/>
    <w:qFormat/>
    <w:rPr>
      <w:rFonts w:ascii="Calibri" w:hAnsi="Calibri"/>
    </w:rPr>
    <w:tblPr>
      <w:tblCellMar>
        <w:left w:w="0" w:type="dxa"/>
        <w:top w:w="0" w:type="dxa"/>
        <w:right w:w="0" w:type="dxa"/>
        <w:bottom w:w="0" w:type="dxa"/>
      </w:tblCellMar>
    </w:tblPr>
  </w:style>
  <w:style w:type="table" w:styleId="1269" w:customStyle="1">
    <w:name w:val="Grid Table 5 Dark - Accent 5"/>
    <w:uiPriority w:val="99"/>
    <w:qFormat/>
    <w:rPr>
      <w:rFonts w:ascii="Calibri" w:hAnsi="Calibri"/>
    </w:rPr>
    <w:tblPr>
      <w:tblCellMar>
        <w:left w:w="0" w:type="dxa"/>
        <w:top w:w="0" w:type="dxa"/>
        <w:right w:w="0" w:type="dxa"/>
        <w:bottom w:w="0" w:type="dxa"/>
      </w:tblCellMar>
    </w:tblPr>
  </w:style>
  <w:style w:type="table" w:styleId="1270" w:customStyle="1">
    <w:name w:val="Grid Table 5 Dark - Accent 6"/>
    <w:uiPriority w:val="99"/>
    <w:qFormat/>
    <w:rPr>
      <w:rFonts w:ascii="Calibri" w:hAnsi="Calibri"/>
    </w:rPr>
    <w:tblPr>
      <w:tblCellMar>
        <w:left w:w="0" w:type="dxa"/>
        <w:top w:w="0" w:type="dxa"/>
        <w:right w:w="0" w:type="dxa"/>
        <w:bottom w:w="0" w:type="dxa"/>
      </w:tblCellMar>
    </w:tblPr>
  </w:style>
  <w:style w:type="table" w:styleId="1271"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272"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273"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274"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275"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276"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27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27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27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28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28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28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283" w:customStyle="1">
    <w:name w:val="List Table 1 Light - Accent 1"/>
    <w:uiPriority w:val="99"/>
    <w:qFormat/>
    <w:rPr>
      <w:rFonts w:ascii="Calibri" w:hAnsi="Calibri"/>
    </w:rPr>
    <w:tblPr>
      <w:tblCellMar>
        <w:left w:w="0" w:type="dxa"/>
        <w:top w:w="0" w:type="dxa"/>
        <w:right w:w="0" w:type="dxa"/>
        <w:bottom w:w="0" w:type="dxa"/>
      </w:tblCellMar>
    </w:tblPr>
  </w:style>
  <w:style w:type="table" w:styleId="1284" w:customStyle="1">
    <w:name w:val="List Table 1 Light - Accent 2"/>
    <w:uiPriority w:val="99"/>
    <w:qFormat/>
    <w:rPr>
      <w:rFonts w:ascii="Calibri" w:hAnsi="Calibri"/>
    </w:rPr>
    <w:tblPr>
      <w:tblCellMar>
        <w:left w:w="0" w:type="dxa"/>
        <w:top w:w="0" w:type="dxa"/>
        <w:right w:w="0" w:type="dxa"/>
        <w:bottom w:w="0" w:type="dxa"/>
      </w:tblCellMar>
    </w:tblPr>
  </w:style>
  <w:style w:type="table" w:styleId="1285" w:customStyle="1">
    <w:name w:val="List Table 1 Light - Accent 3"/>
    <w:uiPriority w:val="99"/>
    <w:qFormat/>
    <w:rPr>
      <w:rFonts w:ascii="Calibri" w:hAnsi="Calibri"/>
    </w:rPr>
    <w:tblPr>
      <w:tblCellMar>
        <w:left w:w="0" w:type="dxa"/>
        <w:top w:w="0" w:type="dxa"/>
        <w:right w:w="0" w:type="dxa"/>
        <w:bottom w:w="0" w:type="dxa"/>
      </w:tblCellMar>
    </w:tblPr>
  </w:style>
  <w:style w:type="table" w:styleId="1286" w:customStyle="1">
    <w:name w:val="List Table 1 Light - Accent 4"/>
    <w:uiPriority w:val="99"/>
    <w:qFormat/>
    <w:rPr>
      <w:rFonts w:ascii="Calibri" w:hAnsi="Calibri"/>
    </w:rPr>
    <w:tblPr>
      <w:tblCellMar>
        <w:left w:w="0" w:type="dxa"/>
        <w:top w:w="0" w:type="dxa"/>
        <w:right w:w="0" w:type="dxa"/>
        <w:bottom w:w="0" w:type="dxa"/>
      </w:tblCellMar>
    </w:tblPr>
  </w:style>
  <w:style w:type="table" w:styleId="1287" w:customStyle="1">
    <w:name w:val="List Table 1 Light - Accent 5"/>
    <w:uiPriority w:val="99"/>
    <w:qFormat/>
    <w:rPr>
      <w:rFonts w:ascii="Calibri" w:hAnsi="Calibri"/>
    </w:rPr>
    <w:tblPr>
      <w:tblCellMar>
        <w:left w:w="0" w:type="dxa"/>
        <w:top w:w="0" w:type="dxa"/>
        <w:right w:w="0" w:type="dxa"/>
        <w:bottom w:w="0" w:type="dxa"/>
      </w:tblCellMar>
    </w:tblPr>
  </w:style>
  <w:style w:type="table" w:styleId="1288" w:customStyle="1">
    <w:name w:val="List Table 1 Light - Accent 6"/>
    <w:uiPriority w:val="99"/>
    <w:qFormat/>
    <w:rPr>
      <w:rFonts w:ascii="Calibri" w:hAnsi="Calibri"/>
    </w:rPr>
    <w:tblPr>
      <w:tblCellMar>
        <w:left w:w="0" w:type="dxa"/>
        <w:top w:w="0" w:type="dxa"/>
        <w:right w:w="0" w:type="dxa"/>
        <w:bottom w:w="0" w:type="dxa"/>
      </w:tblCellMar>
    </w:tblPr>
  </w:style>
  <w:style w:type="table" w:styleId="1289" w:customStyle="1">
    <w:name w:val="List Table 2 - Accent 1"/>
    <w:uiPriority w:val="99"/>
    <w:qFormat/>
    <w:rPr>
      <w:rFonts w:ascii="Calibri" w:hAnsi="Calibri"/>
    </w:rPr>
    <w:tblPr>
      <w:tblCellMar>
        <w:left w:w="0" w:type="dxa"/>
        <w:top w:w="0" w:type="dxa"/>
        <w:right w:w="0" w:type="dxa"/>
        <w:bottom w:w="0" w:type="dxa"/>
      </w:tblCellMar>
    </w:tblPr>
  </w:style>
  <w:style w:type="table" w:styleId="1290" w:customStyle="1">
    <w:name w:val="List Table 2 - Accent 2"/>
    <w:uiPriority w:val="99"/>
    <w:qFormat/>
    <w:rPr>
      <w:rFonts w:ascii="Calibri" w:hAnsi="Calibri"/>
    </w:rPr>
    <w:tblPr>
      <w:tblCellMar>
        <w:left w:w="0" w:type="dxa"/>
        <w:top w:w="0" w:type="dxa"/>
        <w:right w:w="0" w:type="dxa"/>
        <w:bottom w:w="0" w:type="dxa"/>
      </w:tblCellMar>
    </w:tblPr>
  </w:style>
  <w:style w:type="table" w:styleId="1291" w:customStyle="1">
    <w:name w:val="List Table 2 - Accent 3"/>
    <w:uiPriority w:val="99"/>
    <w:qFormat/>
    <w:rPr>
      <w:rFonts w:ascii="Calibri" w:hAnsi="Calibri"/>
    </w:rPr>
    <w:tblPr>
      <w:tblCellMar>
        <w:left w:w="0" w:type="dxa"/>
        <w:top w:w="0" w:type="dxa"/>
        <w:right w:w="0" w:type="dxa"/>
        <w:bottom w:w="0" w:type="dxa"/>
      </w:tblCellMar>
    </w:tblPr>
  </w:style>
  <w:style w:type="table" w:styleId="1292" w:customStyle="1">
    <w:name w:val="List Table 2 - Accent 4"/>
    <w:uiPriority w:val="99"/>
    <w:qFormat/>
    <w:rPr>
      <w:rFonts w:ascii="Calibri" w:hAnsi="Calibri"/>
    </w:rPr>
    <w:tblPr>
      <w:tblCellMar>
        <w:left w:w="0" w:type="dxa"/>
        <w:top w:w="0" w:type="dxa"/>
        <w:right w:w="0" w:type="dxa"/>
        <w:bottom w:w="0" w:type="dxa"/>
      </w:tblCellMar>
    </w:tblPr>
  </w:style>
  <w:style w:type="table" w:styleId="1293" w:customStyle="1">
    <w:name w:val="List Table 2 - Accent 5"/>
    <w:uiPriority w:val="99"/>
    <w:qFormat/>
    <w:rPr>
      <w:rFonts w:ascii="Calibri" w:hAnsi="Calibri"/>
    </w:rPr>
    <w:tblPr>
      <w:tblCellMar>
        <w:left w:w="0" w:type="dxa"/>
        <w:top w:w="0" w:type="dxa"/>
        <w:right w:w="0" w:type="dxa"/>
        <w:bottom w:w="0" w:type="dxa"/>
      </w:tblCellMar>
    </w:tblPr>
  </w:style>
  <w:style w:type="table" w:styleId="1294" w:customStyle="1">
    <w:name w:val="List Table 2 - Accent 6"/>
    <w:uiPriority w:val="99"/>
    <w:qFormat/>
    <w:rPr>
      <w:rFonts w:ascii="Calibri" w:hAnsi="Calibri"/>
    </w:rPr>
    <w:tblPr>
      <w:tblCellMar>
        <w:left w:w="0" w:type="dxa"/>
        <w:top w:w="0" w:type="dxa"/>
        <w:right w:w="0" w:type="dxa"/>
        <w:bottom w:w="0" w:type="dxa"/>
      </w:tblCellMar>
    </w:tblPr>
  </w:style>
  <w:style w:type="table" w:styleId="1295" w:customStyle="1">
    <w:name w:val="List Table 3 - Accent 1"/>
    <w:uiPriority w:val="99"/>
    <w:qFormat/>
    <w:rPr>
      <w:rFonts w:ascii="Calibri" w:hAnsi="Calibri"/>
    </w:rPr>
    <w:tblPr>
      <w:tblCellMar>
        <w:left w:w="0" w:type="dxa"/>
        <w:top w:w="0" w:type="dxa"/>
        <w:right w:w="0" w:type="dxa"/>
        <w:bottom w:w="0" w:type="dxa"/>
      </w:tblCellMar>
    </w:tblPr>
  </w:style>
  <w:style w:type="table" w:styleId="1296" w:customStyle="1">
    <w:name w:val="List Table 3 - Accent 2"/>
    <w:uiPriority w:val="99"/>
    <w:qFormat/>
    <w:rPr>
      <w:rFonts w:ascii="Calibri" w:hAnsi="Calibri"/>
    </w:rPr>
    <w:tblPr>
      <w:tblCellMar>
        <w:left w:w="0" w:type="dxa"/>
        <w:top w:w="0" w:type="dxa"/>
        <w:right w:w="0" w:type="dxa"/>
        <w:bottom w:w="0" w:type="dxa"/>
      </w:tblCellMar>
    </w:tblPr>
  </w:style>
  <w:style w:type="table" w:styleId="1297" w:customStyle="1">
    <w:name w:val="List Table 3 - Accent 3"/>
    <w:uiPriority w:val="99"/>
    <w:qFormat/>
    <w:rPr>
      <w:rFonts w:ascii="Calibri" w:hAnsi="Calibri"/>
    </w:rPr>
    <w:tblPr>
      <w:tblCellMar>
        <w:left w:w="0" w:type="dxa"/>
        <w:top w:w="0" w:type="dxa"/>
        <w:right w:w="0" w:type="dxa"/>
        <w:bottom w:w="0" w:type="dxa"/>
      </w:tblCellMar>
    </w:tblPr>
  </w:style>
  <w:style w:type="table" w:styleId="1298" w:customStyle="1">
    <w:name w:val="List Table 3 - Accent 4"/>
    <w:uiPriority w:val="99"/>
    <w:qFormat/>
    <w:rPr>
      <w:rFonts w:ascii="Calibri" w:hAnsi="Calibri"/>
    </w:rPr>
    <w:tblPr>
      <w:tblCellMar>
        <w:left w:w="0" w:type="dxa"/>
        <w:top w:w="0" w:type="dxa"/>
        <w:right w:w="0" w:type="dxa"/>
        <w:bottom w:w="0" w:type="dxa"/>
      </w:tblCellMar>
    </w:tblPr>
  </w:style>
  <w:style w:type="table" w:styleId="1299" w:customStyle="1">
    <w:name w:val="List Table 3 - Accent 5"/>
    <w:uiPriority w:val="99"/>
    <w:qFormat/>
    <w:rPr>
      <w:rFonts w:ascii="Calibri" w:hAnsi="Calibri"/>
    </w:rPr>
    <w:tblPr>
      <w:tblCellMar>
        <w:left w:w="0" w:type="dxa"/>
        <w:top w:w="0" w:type="dxa"/>
        <w:right w:w="0" w:type="dxa"/>
        <w:bottom w:w="0" w:type="dxa"/>
      </w:tblCellMar>
    </w:tblPr>
  </w:style>
  <w:style w:type="table" w:styleId="1300" w:customStyle="1">
    <w:name w:val="List Table 3 - Accent 6"/>
    <w:uiPriority w:val="99"/>
    <w:qFormat/>
    <w:rPr>
      <w:rFonts w:ascii="Calibri" w:hAnsi="Calibri"/>
    </w:rPr>
    <w:tblPr>
      <w:tblCellMar>
        <w:left w:w="0" w:type="dxa"/>
        <w:top w:w="0" w:type="dxa"/>
        <w:right w:w="0" w:type="dxa"/>
        <w:bottom w:w="0" w:type="dxa"/>
      </w:tblCellMar>
    </w:tblPr>
  </w:style>
  <w:style w:type="table" w:styleId="1301" w:customStyle="1">
    <w:name w:val="List Table 4 - Accent 1"/>
    <w:uiPriority w:val="99"/>
    <w:qFormat/>
    <w:rPr>
      <w:rFonts w:ascii="Calibri" w:hAnsi="Calibri"/>
    </w:rPr>
    <w:tblPr>
      <w:tblCellMar>
        <w:left w:w="0" w:type="dxa"/>
        <w:top w:w="0" w:type="dxa"/>
        <w:right w:w="0" w:type="dxa"/>
        <w:bottom w:w="0" w:type="dxa"/>
      </w:tblCellMar>
    </w:tblPr>
  </w:style>
  <w:style w:type="table" w:styleId="1302" w:customStyle="1">
    <w:name w:val="List Table 4 - Accent 2"/>
    <w:uiPriority w:val="99"/>
    <w:qFormat/>
    <w:rPr>
      <w:rFonts w:ascii="Calibri" w:hAnsi="Calibri"/>
    </w:rPr>
    <w:tblPr>
      <w:tblCellMar>
        <w:left w:w="0" w:type="dxa"/>
        <w:top w:w="0" w:type="dxa"/>
        <w:right w:w="0" w:type="dxa"/>
        <w:bottom w:w="0" w:type="dxa"/>
      </w:tblCellMar>
    </w:tblPr>
  </w:style>
  <w:style w:type="table" w:styleId="1303" w:customStyle="1">
    <w:name w:val="List Table 4 - Accent 3"/>
    <w:uiPriority w:val="99"/>
    <w:qFormat/>
    <w:rPr>
      <w:rFonts w:ascii="Calibri" w:hAnsi="Calibri"/>
    </w:rPr>
    <w:tblPr>
      <w:tblCellMar>
        <w:left w:w="0" w:type="dxa"/>
        <w:top w:w="0" w:type="dxa"/>
        <w:right w:w="0" w:type="dxa"/>
        <w:bottom w:w="0" w:type="dxa"/>
      </w:tblCellMar>
    </w:tblPr>
  </w:style>
  <w:style w:type="table" w:styleId="1304" w:customStyle="1">
    <w:name w:val="List Table 4 - Accent 4"/>
    <w:uiPriority w:val="99"/>
    <w:qFormat/>
    <w:rPr>
      <w:rFonts w:ascii="Calibri" w:hAnsi="Calibri"/>
    </w:rPr>
    <w:tblPr>
      <w:tblCellMar>
        <w:left w:w="0" w:type="dxa"/>
        <w:top w:w="0" w:type="dxa"/>
        <w:right w:w="0" w:type="dxa"/>
        <w:bottom w:w="0" w:type="dxa"/>
      </w:tblCellMar>
    </w:tblPr>
  </w:style>
  <w:style w:type="table" w:styleId="1305" w:customStyle="1">
    <w:name w:val="List Table 4 - Accent 5"/>
    <w:uiPriority w:val="99"/>
    <w:qFormat/>
    <w:rPr>
      <w:rFonts w:ascii="Calibri" w:hAnsi="Calibri"/>
    </w:rPr>
    <w:tblPr>
      <w:tblCellMar>
        <w:left w:w="0" w:type="dxa"/>
        <w:top w:w="0" w:type="dxa"/>
        <w:right w:w="0" w:type="dxa"/>
        <w:bottom w:w="0" w:type="dxa"/>
      </w:tblCellMar>
    </w:tblPr>
  </w:style>
  <w:style w:type="table" w:styleId="1306" w:customStyle="1">
    <w:name w:val="List Table 4 - Accent 6"/>
    <w:uiPriority w:val="99"/>
    <w:qFormat/>
    <w:rPr>
      <w:rFonts w:ascii="Calibri" w:hAnsi="Calibri"/>
    </w:rPr>
    <w:tblPr>
      <w:tblCellMar>
        <w:left w:w="0" w:type="dxa"/>
        <w:top w:w="0" w:type="dxa"/>
        <w:right w:w="0" w:type="dxa"/>
        <w:bottom w:w="0" w:type="dxa"/>
      </w:tblCellMar>
    </w:tblPr>
  </w:style>
  <w:style w:type="table" w:styleId="1307" w:customStyle="1">
    <w:name w:val="List Table 5 Dark - Accent 1"/>
    <w:uiPriority w:val="99"/>
    <w:qFormat/>
    <w:rPr>
      <w:rFonts w:ascii="Calibri" w:hAnsi="Calibri"/>
    </w:rPr>
    <w:tblPr>
      <w:tblCellMar>
        <w:left w:w="0" w:type="dxa"/>
        <w:top w:w="0" w:type="dxa"/>
        <w:right w:w="0" w:type="dxa"/>
        <w:bottom w:w="0" w:type="dxa"/>
      </w:tblCellMar>
    </w:tblPr>
  </w:style>
  <w:style w:type="table" w:styleId="1308" w:customStyle="1">
    <w:name w:val="List Table 5 Dark - Accent 2"/>
    <w:uiPriority w:val="99"/>
    <w:qFormat/>
    <w:rPr>
      <w:rFonts w:ascii="Calibri" w:hAnsi="Calibri"/>
    </w:rPr>
    <w:tblPr>
      <w:tblCellMar>
        <w:left w:w="0" w:type="dxa"/>
        <w:top w:w="0" w:type="dxa"/>
        <w:right w:w="0" w:type="dxa"/>
        <w:bottom w:w="0" w:type="dxa"/>
      </w:tblCellMar>
    </w:tblPr>
  </w:style>
  <w:style w:type="table" w:styleId="1309" w:customStyle="1">
    <w:name w:val="List Table 5 Dark - Accent 3"/>
    <w:uiPriority w:val="99"/>
    <w:qFormat/>
    <w:rPr>
      <w:rFonts w:ascii="Calibri" w:hAnsi="Calibri"/>
    </w:rPr>
    <w:tblPr>
      <w:tblCellMar>
        <w:left w:w="0" w:type="dxa"/>
        <w:top w:w="0" w:type="dxa"/>
        <w:right w:w="0" w:type="dxa"/>
        <w:bottom w:w="0" w:type="dxa"/>
      </w:tblCellMar>
    </w:tblPr>
  </w:style>
  <w:style w:type="table" w:styleId="1310" w:customStyle="1">
    <w:name w:val="List Table 5 Dark - Accent 4"/>
    <w:uiPriority w:val="99"/>
    <w:qFormat/>
    <w:rPr>
      <w:rFonts w:ascii="Calibri" w:hAnsi="Calibri"/>
    </w:rPr>
    <w:tblPr>
      <w:tblCellMar>
        <w:left w:w="0" w:type="dxa"/>
        <w:top w:w="0" w:type="dxa"/>
        <w:right w:w="0" w:type="dxa"/>
        <w:bottom w:w="0" w:type="dxa"/>
      </w:tblCellMar>
    </w:tblPr>
  </w:style>
  <w:style w:type="table" w:styleId="1311" w:customStyle="1">
    <w:name w:val="List Table 5 Dark - Accent 5"/>
    <w:uiPriority w:val="99"/>
    <w:qFormat/>
    <w:rPr>
      <w:rFonts w:ascii="Calibri" w:hAnsi="Calibri"/>
    </w:rPr>
    <w:tblPr>
      <w:tblCellMar>
        <w:left w:w="0" w:type="dxa"/>
        <w:top w:w="0" w:type="dxa"/>
        <w:right w:w="0" w:type="dxa"/>
        <w:bottom w:w="0" w:type="dxa"/>
      </w:tblCellMar>
    </w:tblPr>
  </w:style>
  <w:style w:type="table" w:styleId="1312" w:customStyle="1">
    <w:name w:val="List Table 5 Dark - Accent 6"/>
    <w:uiPriority w:val="99"/>
    <w:qFormat/>
    <w:rPr>
      <w:rFonts w:ascii="Calibri" w:hAnsi="Calibri"/>
    </w:rPr>
    <w:tblPr>
      <w:tblCellMar>
        <w:left w:w="0" w:type="dxa"/>
        <w:top w:w="0" w:type="dxa"/>
        <w:right w:w="0" w:type="dxa"/>
        <w:bottom w:w="0" w:type="dxa"/>
      </w:tblCellMar>
    </w:tblPr>
  </w:style>
  <w:style w:type="table" w:styleId="131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31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31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31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31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31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31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32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32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32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32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32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32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32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32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32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32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33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33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33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33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33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33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33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33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33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339" w:customStyle="1">
    <w:name w:val="Bordered"/>
    <w:uiPriority w:val="99"/>
    <w:qFormat/>
    <w:rPr>
      <w:rFonts w:ascii="Calibri" w:hAnsi="Calibri"/>
    </w:rPr>
    <w:tblPr>
      <w:tblCellMar>
        <w:left w:w="0" w:type="dxa"/>
        <w:top w:w="0" w:type="dxa"/>
        <w:right w:w="0" w:type="dxa"/>
        <w:bottom w:w="0" w:type="dxa"/>
      </w:tblCellMar>
    </w:tblPr>
  </w:style>
  <w:style w:type="table" w:styleId="1340" w:customStyle="1">
    <w:name w:val="Bordered - Accent 1"/>
    <w:uiPriority w:val="99"/>
    <w:qFormat/>
    <w:rPr>
      <w:rFonts w:ascii="Calibri" w:hAnsi="Calibri"/>
    </w:rPr>
    <w:tblPr>
      <w:tblCellMar>
        <w:left w:w="0" w:type="dxa"/>
        <w:top w:w="0" w:type="dxa"/>
        <w:right w:w="0" w:type="dxa"/>
        <w:bottom w:w="0" w:type="dxa"/>
      </w:tblCellMar>
    </w:tblPr>
  </w:style>
  <w:style w:type="table" w:styleId="1341" w:customStyle="1">
    <w:name w:val="Bordered - Accent 2"/>
    <w:uiPriority w:val="99"/>
    <w:qFormat/>
    <w:rPr>
      <w:rFonts w:ascii="Calibri" w:hAnsi="Calibri"/>
    </w:rPr>
    <w:tblPr>
      <w:tblCellMar>
        <w:left w:w="0" w:type="dxa"/>
        <w:top w:w="0" w:type="dxa"/>
        <w:right w:w="0" w:type="dxa"/>
        <w:bottom w:w="0" w:type="dxa"/>
      </w:tblCellMar>
    </w:tblPr>
  </w:style>
  <w:style w:type="table" w:styleId="1342" w:customStyle="1">
    <w:name w:val="Bordered - Accent 3"/>
    <w:uiPriority w:val="99"/>
    <w:qFormat/>
    <w:rPr>
      <w:rFonts w:ascii="Calibri" w:hAnsi="Calibri"/>
    </w:rPr>
    <w:tblPr>
      <w:tblCellMar>
        <w:left w:w="0" w:type="dxa"/>
        <w:top w:w="0" w:type="dxa"/>
        <w:right w:w="0" w:type="dxa"/>
        <w:bottom w:w="0" w:type="dxa"/>
      </w:tblCellMar>
    </w:tblPr>
  </w:style>
  <w:style w:type="table" w:styleId="1343" w:customStyle="1">
    <w:name w:val="Bordered - Accent 4"/>
    <w:uiPriority w:val="99"/>
    <w:qFormat/>
    <w:rPr>
      <w:rFonts w:ascii="Calibri" w:hAnsi="Calibri"/>
    </w:rPr>
    <w:tblPr>
      <w:tblCellMar>
        <w:left w:w="0" w:type="dxa"/>
        <w:top w:w="0" w:type="dxa"/>
        <w:right w:w="0" w:type="dxa"/>
        <w:bottom w:w="0" w:type="dxa"/>
      </w:tblCellMar>
    </w:tblPr>
  </w:style>
  <w:style w:type="table" w:styleId="1344" w:customStyle="1">
    <w:name w:val="Bordered - Accent 5"/>
    <w:uiPriority w:val="99"/>
    <w:qFormat/>
    <w:rPr>
      <w:rFonts w:ascii="Calibri" w:hAnsi="Calibri"/>
    </w:rPr>
    <w:tblPr>
      <w:tblCellMar>
        <w:left w:w="0" w:type="dxa"/>
        <w:top w:w="0" w:type="dxa"/>
        <w:right w:w="0" w:type="dxa"/>
        <w:bottom w:w="0" w:type="dxa"/>
      </w:tblCellMar>
    </w:tblPr>
  </w:style>
  <w:style w:type="table" w:styleId="1345" w:customStyle="1">
    <w:name w:val="Bordered - Accent 6"/>
    <w:uiPriority w:val="99"/>
    <w:qFormat/>
    <w:rPr>
      <w:rFonts w:ascii="Calibri" w:hAnsi="Calibri"/>
    </w:rPr>
    <w:tblPr>
      <w:tblCellMar>
        <w:left w:w="0" w:type="dxa"/>
        <w:top w:w="0" w:type="dxa"/>
        <w:right w:w="0" w:type="dxa"/>
        <w:bottom w:w="0" w:type="dxa"/>
      </w:tblCellMar>
    </w:tblPr>
  </w:style>
  <w:style w:type="paragraph" w:styleId="1346" w:customStyle="1">
    <w:name w:val="TOC 标题11"/>
    <w:uiPriority w:val="39"/>
    <w:unhideWhenUsed/>
    <w:qFormat/>
    <w:rPr>
      <w:rFonts w:ascii="Calibri" w:hAnsi="Calibri" w:eastAsia="宋体" w:cs="Times New Roman"/>
      <w:lang w:val="en-US" w:eastAsia="zh-CN" w:bidi="ar-SA"/>
    </w:rPr>
  </w:style>
  <w:style w:type="paragraph" w:styleId="1347" w:customStyle="1">
    <w:name w:val="标题 11"/>
    <w:basedOn w:val="1029"/>
    <w:next w:val="1029"/>
    <w:link w:val="1348"/>
    <w:uiPriority w:val="0"/>
    <w:qFormat/>
    <w:pPr>
      <w:jc w:val="center"/>
      <w:keepNext/>
      <w:outlineLvl w:val="0"/>
    </w:pPr>
    <w:rPr>
      <w:rFonts w:ascii="楷体_GB2312" w:hAnsi="Times New Roman" w:eastAsia="楷体_GB2312" w:cs="Times New Roman"/>
      <w:sz w:val="28"/>
      <w:szCs w:val="28"/>
      <w:lang w:eastAsia="en-US"/>
    </w:rPr>
  </w:style>
  <w:style w:type="character" w:styleId="1348" w:customStyle="1">
    <w:name w:val="标题 1 Char"/>
    <w:link w:val="1347"/>
    <w:uiPriority w:val="0"/>
    <w:qFormat/>
    <w:rPr>
      <w:rFonts w:ascii="楷体_GB2312" w:hAnsi="Times New Roman" w:eastAsia="楷体_GB2312" w:cs="Times New Roman"/>
      <w:sz w:val="28"/>
      <w:szCs w:val="28"/>
      <w:lang w:eastAsia="en-US"/>
    </w:rPr>
  </w:style>
  <w:style w:type="paragraph" w:styleId="1349" w:customStyle="1">
    <w:name w:val="标题 21"/>
    <w:basedOn w:val="1029"/>
    <w:next w:val="1350"/>
    <w:link w:val="1351"/>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350" w:customStyle="1">
    <w:name w:val="正文缩进1"/>
    <w:basedOn w:val="1029"/>
    <w:link w:val="1352"/>
    <w:uiPriority w:val="0"/>
    <w:qFormat/>
    <w:pPr>
      <w:ind w:firstLine="420"/>
    </w:pPr>
    <w:rPr>
      <w:rFonts w:ascii="Times New Roman" w:hAnsi="Times New Roman" w:eastAsia="宋体" w:cs="Times New Roman"/>
      <w:sz w:val="20"/>
      <w:szCs w:val="21"/>
      <w:lang w:eastAsia="en-US"/>
    </w:rPr>
  </w:style>
  <w:style w:type="character" w:styleId="1351" w:customStyle="1">
    <w:name w:val="标题 2 Char"/>
    <w:link w:val="1349"/>
    <w:uiPriority w:val="0"/>
    <w:qFormat/>
    <w:rPr>
      <w:rFonts w:ascii="Arial" w:hAnsi="Arial" w:eastAsia="幼圆" w:cs="Times New Roman"/>
      <w:b/>
      <w:bCs/>
      <w:sz w:val="44"/>
      <w:szCs w:val="44"/>
      <w:lang w:eastAsia="en-US"/>
    </w:rPr>
  </w:style>
  <w:style w:type="character" w:styleId="1352" w:customStyle="1">
    <w:name w:val="正文缩进 Char"/>
    <w:link w:val="1350"/>
    <w:uiPriority w:val="0"/>
    <w:qFormat/>
    <w:rPr>
      <w:rFonts w:ascii="Times New Roman" w:hAnsi="Times New Roman" w:eastAsia="宋体" w:cs="Times New Roman"/>
      <w:szCs w:val="21"/>
      <w:lang w:eastAsia="en-US"/>
    </w:rPr>
  </w:style>
  <w:style w:type="paragraph" w:styleId="1353" w:customStyle="1">
    <w:name w:val="标题 41"/>
    <w:basedOn w:val="1029"/>
    <w:next w:val="1350"/>
    <w:link w:val="1354"/>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354" w:customStyle="1">
    <w:name w:val="标题 4 Char"/>
    <w:link w:val="1353"/>
    <w:uiPriority w:val="0"/>
    <w:qFormat/>
    <w:rPr>
      <w:rFonts w:ascii="Arial" w:hAnsi="Arial" w:eastAsia="黑体" w:cs="Times New Roman"/>
      <w:b/>
      <w:bCs/>
      <w:sz w:val="28"/>
      <w:szCs w:val="28"/>
      <w:lang w:eastAsia="en-US"/>
    </w:rPr>
  </w:style>
  <w:style w:type="paragraph" w:styleId="1355" w:customStyle="1">
    <w:name w:val="标题 51"/>
    <w:basedOn w:val="1029"/>
    <w:next w:val="1350"/>
    <w:link w:val="1356"/>
    <w:uiPriority w:val="0"/>
    <w:qFormat/>
    <w:pPr>
      <w:keepNext/>
      <w:outlineLvl w:val="4"/>
    </w:pPr>
    <w:rPr>
      <w:rFonts w:ascii="宋体" w:hAnsi="Times New Roman" w:eastAsia="宋体" w:cs="Times New Roman"/>
      <w:color w:val="000000"/>
      <w:sz w:val="28"/>
      <w:szCs w:val="28"/>
      <w:lang w:eastAsia="en-US"/>
    </w:rPr>
  </w:style>
  <w:style w:type="character" w:styleId="1356" w:customStyle="1">
    <w:name w:val="标题 5 Char"/>
    <w:link w:val="1355"/>
    <w:uiPriority w:val="0"/>
    <w:qFormat/>
    <w:rPr>
      <w:rFonts w:ascii="宋体" w:hAnsi="Times New Roman" w:eastAsia="宋体" w:cs="Times New Roman"/>
      <w:color w:val="000000"/>
      <w:sz w:val="28"/>
      <w:szCs w:val="28"/>
      <w:lang w:eastAsia="en-US"/>
    </w:rPr>
  </w:style>
  <w:style w:type="paragraph" w:styleId="1357" w:customStyle="1">
    <w:name w:val="标题 61"/>
    <w:basedOn w:val="1029"/>
    <w:next w:val="1029"/>
    <w:link w:val="1358"/>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358" w:customStyle="1">
    <w:name w:val="标题 6 Char"/>
    <w:link w:val="1357"/>
    <w:uiPriority w:val="0"/>
    <w:qFormat/>
    <w:rPr>
      <w:rFonts w:ascii="Arial" w:hAnsi="Arial" w:eastAsia="黑体" w:cs="Times New Roman"/>
      <w:b/>
      <w:bCs/>
      <w:sz w:val="24"/>
      <w:szCs w:val="24"/>
      <w:lang w:eastAsia="en-US"/>
    </w:rPr>
  </w:style>
  <w:style w:type="paragraph" w:styleId="1359" w:customStyle="1">
    <w:name w:val="标题 71"/>
    <w:basedOn w:val="1029"/>
    <w:next w:val="1029"/>
    <w:link w:val="1360"/>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360" w:customStyle="1">
    <w:name w:val="标题 7 Char"/>
    <w:link w:val="1359"/>
    <w:uiPriority w:val="0"/>
    <w:qFormat/>
    <w:rPr>
      <w:rFonts w:ascii="Times New Roman" w:hAnsi="Times New Roman" w:eastAsia="宋体" w:cs="Times New Roman"/>
      <w:b/>
      <w:bCs/>
      <w:sz w:val="24"/>
      <w:szCs w:val="24"/>
      <w:lang w:eastAsia="en-US"/>
    </w:rPr>
  </w:style>
  <w:style w:type="paragraph" w:styleId="1361" w:customStyle="1">
    <w:name w:val="标题 81"/>
    <w:basedOn w:val="1029"/>
    <w:next w:val="1029"/>
    <w:link w:val="1362"/>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362" w:customStyle="1">
    <w:name w:val="标题 8 Char"/>
    <w:link w:val="1361"/>
    <w:uiPriority w:val="0"/>
    <w:qFormat/>
    <w:rPr>
      <w:rFonts w:ascii="Arial" w:hAnsi="Arial" w:eastAsia="黑体" w:cs="Times New Roman"/>
      <w:sz w:val="24"/>
      <w:szCs w:val="24"/>
      <w:lang w:eastAsia="en-US"/>
    </w:rPr>
  </w:style>
  <w:style w:type="paragraph" w:styleId="1363" w:customStyle="1">
    <w:name w:val="标题 91"/>
    <w:basedOn w:val="1029"/>
    <w:next w:val="1029"/>
    <w:link w:val="1364"/>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364" w:customStyle="1">
    <w:name w:val="标题 9 Char"/>
    <w:link w:val="1363"/>
    <w:uiPriority w:val="0"/>
    <w:qFormat/>
    <w:rPr>
      <w:rFonts w:ascii="Arial" w:hAnsi="Arial" w:eastAsia="黑体" w:cs="Times New Roman"/>
      <w:szCs w:val="21"/>
      <w:lang w:eastAsia="en-US"/>
    </w:rPr>
  </w:style>
  <w:style w:type="character" w:styleId="1365" w:customStyle="1">
    <w:name w:val="默认段落字体1"/>
    <w:uiPriority w:val="1"/>
    <w:unhideWhenUsed/>
    <w:qFormat/>
  </w:style>
  <w:style w:type="table" w:styleId="136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367" w:customStyle="1">
    <w:name w:val="列表 31"/>
    <w:basedOn w:val="1029"/>
    <w:uiPriority w:val="0"/>
    <w:qFormat/>
    <w:pPr>
      <w:ind w:left="100" w:hanging="200"/>
    </w:pPr>
    <w:rPr>
      <w:rFonts w:ascii="Times New Roman" w:hAnsi="Times New Roman" w:eastAsia="宋体" w:cs="Times New Roman"/>
      <w:szCs w:val="21"/>
    </w:rPr>
  </w:style>
  <w:style w:type="paragraph" w:styleId="1368" w:customStyle="1">
    <w:name w:val="目录 711"/>
    <w:basedOn w:val="1029"/>
    <w:next w:val="1029"/>
    <w:uiPriority w:val="0"/>
    <w:semiHidden/>
    <w:qFormat/>
    <w:pPr>
      <w:ind w:left="1260"/>
      <w:jc w:val="left"/>
    </w:pPr>
    <w:rPr>
      <w:rFonts w:ascii="Times New Roman" w:hAnsi="Times New Roman" w:eastAsia="宋体" w:cs="Times New Roman"/>
      <w:szCs w:val="21"/>
    </w:rPr>
  </w:style>
  <w:style w:type="paragraph" w:styleId="1369" w:customStyle="1">
    <w:name w:val="文档结构图1"/>
    <w:basedOn w:val="1029"/>
    <w:link w:val="1370"/>
    <w:uiPriority w:val="0"/>
    <w:semiHidden/>
    <w:qFormat/>
    <w:pPr>
      <w:shd w:val="clear" w:color="auto" w:fill="000080"/>
    </w:pPr>
    <w:rPr>
      <w:rFonts w:ascii="Times New Roman" w:hAnsi="Times New Roman" w:eastAsia="宋体" w:cs="Times New Roman"/>
      <w:sz w:val="20"/>
      <w:szCs w:val="21"/>
      <w:lang w:eastAsia="en-US"/>
    </w:rPr>
  </w:style>
  <w:style w:type="character" w:styleId="1370" w:customStyle="1">
    <w:name w:val="文档结构图 Char"/>
    <w:link w:val="1369"/>
    <w:uiPriority w:val="0"/>
    <w:semiHidden/>
    <w:qFormat/>
    <w:rPr>
      <w:rFonts w:ascii="Times New Roman" w:hAnsi="Times New Roman" w:eastAsia="宋体" w:cs="Times New Roman"/>
      <w:szCs w:val="21"/>
      <w:shd w:val="clear" w:color="auto" w:fill="000080"/>
      <w:lang w:eastAsia="en-US"/>
    </w:rPr>
  </w:style>
  <w:style w:type="paragraph" w:styleId="1371" w:customStyle="1">
    <w:name w:val="批注文字1"/>
    <w:basedOn w:val="1029"/>
    <w:link w:val="1372"/>
    <w:uiPriority w:val="0"/>
    <w:semiHidden/>
    <w:qFormat/>
    <w:pPr>
      <w:jc w:val="left"/>
    </w:pPr>
    <w:rPr>
      <w:rFonts w:ascii="Times New Roman" w:hAnsi="Times New Roman" w:eastAsia="宋体" w:cs="Times New Roman"/>
      <w:sz w:val="20"/>
      <w:szCs w:val="21"/>
      <w:lang w:eastAsia="en-US"/>
    </w:rPr>
  </w:style>
  <w:style w:type="character" w:styleId="1372" w:customStyle="1">
    <w:name w:val="批注文字 Char"/>
    <w:link w:val="1371"/>
    <w:uiPriority w:val="0"/>
    <w:semiHidden/>
    <w:qFormat/>
    <w:rPr>
      <w:rFonts w:ascii="Times New Roman" w:hAnsi="Times New Roman" w:eastAsia="宋体" w:cs="Times New Roman"/>
      <w:szCs w:val="21"/>
      <w:lang w:eastAsia="en-US"/>
    </w:rPr>
  </w:style>
  <w:style w:type="paragraph" w:styleId="1373" w:customStyle="1">
    <w:name w:val="正文文本 31"/>
    <w:basedOn w:val="1029"/>
    <w:link w:val="1374"/>
    <w:uiPriority w:val="0"/>
    <w:qFormat/>
    <w:rPr>
      <w:rFonts w:ascii="仿宋_GB2312" w:hAnsi="Arial" w:eastAsia="仿宋_GB2312" w:cs="Times New Roman"/>
      <w:sz w:val="32"/>
      <w:szCs w:val="32"/>
      <w:lang w:eastAsia="en-US"/>
    </w:rPr>
  </w:style>
  <w:style w:type="character" w:styleId="1374" w:customStyle="1">
    <w:name w:val="正文文本 3 Char"/>
    <w:link w:val="1373"/>
    <w:uiPriority w:val="0"/>
    <w:qFormat/>
    <w:rPr>
      <w:rFonts w:ascii="仿宋_GB2312" w:hAnsi="Arial" w:eastAsia="仿宋_GB2312" w:cs="Times New Roman"/>
      <w:sz w:val="32"/>
      <w:szCs w:val="32"/>
      <w:lang w:eastAsia="en-US"/>
    </w:rPr>
  </w:style>
  <w:style w:type="paragraph" w:styleId="1375" w:customStyle="1">
    <w:name w:val="正文文本1"/>
    <w:basedOn w:val="1029"/>
    <w:link w:val="1376"/>
    <w:uiPriority w:val="0"/>
    <w:qFormat/>
    <w:rPr>
      <w:rFonts w:ascii="楷体_GB2312" w:hAnsi="Arial" w:eastAsia="楷体_GB2312" w:cs="Times New Roman"/>
      <w:sz w:val="28"/>
      <w:szCs w:val="28"/>
      <w:lang w:eastAsia="en-US"/>
    </w:rPr>
  </w:style>
  <w:style w:type="character" w:styleId="1376" w:customStyle="1">
    <w:name w:val="正文文本 Char"/>
    <w:link w:val="1375"/>
    <w:uiPriority w:val="0"/>
    <w:qFormat/>
    <w:rPr>
      <w:rFonts w:ascii="楷体_GB2312" w:hAnsi="Arial" w:eastAsia="楷体_GB2312" w:cs="Times New Roman"/>
      <w:sz w:val="28"/>
      <w:szCs w:val="28"/>
      <w:lang w:eastAsia="en-US"/>
    </w:rPr>
  </w:style>
  <w:style w:type="paragraph" w:styleId="1377" w:customStyle="1">
    <w:name w:val="正文文本缩进1"/>
    <w:basedOn w:val="1029"/>
    <w:link w:val="1378"/>
    <w:uiPriority w:val="0"/>
    <w:qFormat/>
    <w:pPr>
      <w:ind w:firstLine="645"/>
    </w:pPr>
    <w:rPr>
      <w:rFonts w:ascii="楷体_GB2312" w:hAnsi="Times New Roman" w:eastAsia="楷体_GB2312" w:cs="Times New Roman"/>
      <w:sz w:val="32"/>
      <w:szCs w:val="32"/>
      <w:lang w:eastAsia="en-US"/>
    </w:rPr>
  </w:style>
  <w:style w:type="character" w:styleId="1378" w:customStyle="1">
    <w:name w:val="正文文本缩进 Char"/>
    <w:link w:val="1377"/>
    <w:uiPriority w:val="0"/>
    <w:qFormat/>
    <w:rPr>
      <w:rFonts w:ascii="楷体_GB2312" w:hAnsi="Times New Roman" w:eastAsia="楷体_GB2312" w:cs="Times New Roman"/>
      <w:sz w:val="32"/>
      <w:szCs w:val="32"/>
      <w:lang w:eastAsia="en-US"/>
    </w:rPr>
  </w:style>
  <w:style w:type="paragraph" w:styleId="1379" w:customStyle="1">
    <w:name w:val="列表 21"/>
    <w:basedOn w:val="1029"/>
    <w:uiPriority w:val="0"/>
    <w:qFormat/>
    <w:pPr>
      <w:ind w:left="100" w:hanging="200"/>
    </w:pPr>
    <w:rPr>
      <w:rFonts w:ascii="Times New Roman" w:hAnsi="Times New Roman" w:eastAsia="宋体" w:cs="Times New Roman"/>
      <w:szCs w:val="21"/>
    </w:rPr>
  </w:style>
  <w:style w:type="paragraph" w:styleId="1380" w:customStyle="1">
    <w:name w:val="目录 511"/>
    <w:basedOn w:val="1029"/>
    <w:next w:val="1029"/>
    <w:uiPriority w:val="0"/>
    <w:semiHidden/>
    <w:qFormat/>
    <w:pPr>
      <w:ind w:left="840"/>
      <w:jc w:val="left"/>
    </w:pPr>
    <w:rPr>
      <w:rFonts w:ascii="Times New Roman" w:hAnsi="Times New Roman" w:eastAsia="宋体" w:cs="Times New Roman"/>
      <w:szCs w:val="21"/>
    </w:rPr>
  </w:style>
  <w:style w:type="paragraph" w:styleId="1381" w:customStyle="1">
    <w:name w:val="目录 311"/>
    <w:basedOn w:val="1029"/>
    <w:next w:val="1029"/>
    <w:uiPriority w:val="0"/>
    <w:semiHidden/>
    <w:qFormat/>
    <w:pPr>
      <w:ind w:left="420"/>
      <w:jc w:val="left"/>
    </w:pPr>
    <w:rPr>
      <w:rFonts w:ascii="Times New Roman" w:hAnsi="Times New Roman" w:eastAsia="宋体" w:cs="Times New Roman"/>
      <w:i/>
      <w:iCs/>
      <w:szCs w:val="24"/>
    </w:rPr>
  </w:style>
  <w:style w:type="paragraph" w:styleId="1382" w:customStyle="1">
    <w:name w:val="纯文本1"/>
    <w:basedOn w:val="1029"/>
    <w:link w:val="1383"/>
    <w:uiPriority w:val="0"/>
    <w:qFormat/>
    <w:rPr>
      <w:rFonts w:ascii="宋体" w:hAnsi="Courier New" w:eastAsia="宋体" w:cs="Times New Roman"/>
      <w:sz w:val="20"/>
      <w:szCs w:val="21"/>
      <w:lang w:eastAsia="en-US"/>
    </w:rPr>
  </w:style>
  <w:style w:type="character" w:styleId="1383" w:customStyle="1">
    <w:name w:val="纯文本 Char"/>
    <w:link w:val="1382"/>
    <w:uiPriority w:val="0"/>
    <w:qFormat/>
    <w:rPr>
      <w:rFonts w:ascii="宋体" w:hAnsi="Courier New" w:eastAsia="宋体" w:cs="Times New Roman"/>
      <w:szCs w:val="21"/>
      <w:lang w:eastAsia="en-US"/>
    </w:rPr>
  </w:style>
  <w:style w:type="paragraph" w:styleId="1384" w:customStyle="1">
    <w:name w:val="目录 811"/>
    <w:basedOn w:val="1029"/>
    <w:next w:val="1029"/>
    <w:uiPriority w:val="0"/>
    <w:semiHidden/>
    <w:qFormat/>
    <w:pPr>
      <w:ind w:left="1470"/>
      <w:jc w:val="left"/>
    </w:pPr>
    <w:rPr>
      <w:rFonts w:ascii="Times New Roman" w:hAnsi="Times New Roman" w:eastAsia="宋体" w:cs="Times New Roman"/>
      <w:szCs w:val="21"/>
    </w:rPr>
  </w:style>
  <w:style w:type="paragraph" w:styleId="1385" w:customStyle="1">
    <w:name w:val="日期1"/>
    <w:basedOn w:val="1029"/>
    <w:next w:val="1029"/>
    <w:link w:val="1386"/>
    <w:uiPriority w:val="0"/>
    <w:qFormat/>
    <w:rPr>
      <w:rFonts w:ascii="Times New Roman" w:hAnsi="Times New Roman" w:eastAsia="宋体" w:cs="Times New Roman"/>
      <w:sz w:val="24"/>
      <w:szCs w:val="24"/>
      <w:lang w:eastAsia="en-US"/>
    </w:rPr>
  </w:style>
  <w:style w:type="character" w:styleId="1386" w:customStyle="1">
    <w:name w:val="日期 Char"/>
    <w:link w:val="1385"/>
    <w:uiPriority w:val="0"/>
    <w:qFormat/>
    <w:rPr>
      <w:rFonts w:ascii="Times New Roman" w:hAnsi="Times New Roman" w:eastAsia="宋体" w:cs="Times New Roman"/>
      <w:sz w:val="24"/>
      <w:szCs w:val="24"/>
      <w:lang w:eastAsia="en-US"/>
    </w:rPr>
  </w:style>
  <w:style w:type="paragraph" w:styleId="1387" w:customStyle="1">
    <w:name w:val="正文文本缩进 21"/>
    <w:basedOn w:val="1029"/>
    <w:link w:val="1388"/>
    <w:uiPriority w:val="0"/>
    <w:qFormat/>
    <w:pPr>
      <w:ind w:left="630" w:firstLine="645"/>
    </w:pPr>
    <w:rPr>
      <w:rFonts w:ascii="Arial" w:hAnsi="Arial" w:eastAsia="仿宋_GB2312" w:cs="Times New Roman"/>
      <w:sz w:val="32"/>
      <w:szCs w:val="32"/>
      <w:lang w:eastAsia="en-US"/>
    </w:rPr>
  </w:style>
  <w:style w:type="character" w:styleId="1388" w:customStyle="1">
    <w:name w:val="正文文本缩进 2 Char"/>
    <w:link w:val="1387"/>
    <w:uiPriority w:val="0"/>
    <w:qFormat/>
    <w:rPr>
      <w:rFonts w:ascii="Arial" w:hAnsi="Arial" w:eastAsia="仿宋_GB2312" w:cs="Times New Roman"/>
      <w:sz w:val="32"/>
      <w:szCs w:val="32"/>
      <w:lang w:eastAsia="en-US"/>
    </w:rPr>
  </w:style>
  <w:style w:type="paragraph" w:styleId="1389" w:customStyle="1">
    <w:name w:val="批注框文本1"/>
    <w:basedOn w:val="1029"/>
    <w:link w:val="1390"/>
    <w:uiPriority w:val="0"/>
    <w:semiHidden/>
    <w:qFormat/>
    <w:rPr>
      <w:rFonts w:ascii="Times New Roman" w:hAnsi="Times New Roman" w:eastAsia="宋体" w:cs="Times New Roman"/>
      <w:sz w:val="18"/>
      <w:szCs w:val="18"/>
      <w:lang w:eastAsia="en-US"/>
    </w:rPr>
  </w:style>
  <w:style w:type="character" w:styleId="1390" w:customStyle="1">
    <w:name w:val="批注框文本 Char"/>
    <w:link w:val="1389"/>
    <w:uiPriority w:val="0"/>
    <w:semiHidden/>
    <w:qFormat/>
    <w:rPr>
      <w:rFonts w:ascii="Times New Roman" w:hAnsi="Times New Roman" w:eastAsia="宋体" w:cs="Times New Roman"/>
      <w:sz w:val="18"/>
      <w:szCs w:val="18"/>
      <w:lang w:eastAsia="en-US"/>
    </w:rPr>
  </w:style>
  <w:style w:type="paragraph" w:styleId="1391" w:customStyle="1">
    <w:name w:val="页脚1"/>
    <w:basedOn w:val="1029"/>
    <w:link w:val="1392"/>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392" w:customStyle="1">
    <w:name w:val="页脚 Char"/>
    <w:link w:val="1391"/>
    <w:uiPriority w:val="0"/>
    <w:qFormat/>
    <w:rPr>
      <w:rFonts w:ascii="Times New Roman" w:hAnsi="Times New Roman" w:eastAsia="宋体" w:cs="Times New Roman"/>
      <w:sz w:val="18"/>
      <w:szCs w:val="18"/>
      <w:lang w:eastAsia="en-US"/>
    </w:rPr>
  </w:style>
  <w:style w:type="paragraph" w:styleId="1393" w:customStyle="1">
    <w:name w:val="页眉1"/>
    <w:basedOn w:val="1029"/>
    <w:link w:val="139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394" w:customStyle="1">
    <w:name w:val="页眉 Char"/>
    <w:link w:val="1393"/>
    <w:uiPriority w:val="99"/>
    <w:qFormat/>
    <w:rPr>
      <w:rFonts w:ascii="Times New Roman" w:hAnsi="Times New Roman" w:eastAsia="宋体" w:cs="Times New Roman"/>
      <w:sz w:val="18"/>
      <w:szCs w:val="18"/>
      <w:lang w:eastAsia="en-US"/>
    </w:rPr>
  </w:style>
  <w:style w:type="paragraph" w:styleId="1395" w:customStyle="1">
    <w:name w:val="目录 1111"/>
    <w:basedOn w:val="1029"/>
    <w:next w:val="102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396" w:customStyle="1">
    <w:name w:val="目录 411"/>
    <w:basedOn w:val="1029"/>
    <w:next w:val="1029"/>
    <w:uiPriority w:val="0"/>
    <w:semiHidden/>
    <w:qFormat/>
    <w:pPr>
      <w:ind w:left="630"/>
      <w:jc w:val="left"/>
    </w:pPr>
    <w:rPr>
      <w:rFonts w:ascii="Times New Roman" w:hAnsi="Times New Roman" w:eastAsia="宋体" w:cs="Times New Roman"/>
      <w:szCs w:val="21"/>
    </w:rPr>
  </w:style>
  <w:style w:type="paragraph" w:styleId="1397" w:customStyle="1">
    <w:name w:val="列表1"/>
    <w:basedOn w:val="1029"/>
    <w:uiPriority w:val="0"/>
    <w:qFormat/>
    <w:pPr>
      <w:ind w:left="200" w:hanging="200"/>
    </w:pPr>
    <w:rPr>
      <w:rFonts w:ascii="Times New Roman" w:hAnsi="Times New Roman" w:eastAsia="宋体" w:cs="Times New Roman"/>
      <w:szCs w:val="21"/>
    </w:rPr>
  </w:style>
  <w:style w:type="paragraph" w:styleId="1398" w:customStyle="1">
    <w:name w:val="目录 611"/>
    <w:basedOn w:val="1029"/>
    <w:next w:val="1029"/>
    <w:uiPriority w:val="0"/>
    <w:semiHidden/>
    <w:qFormat/>
    <w:pPr>
      <w:ind w:left="1050"/>
      <w:jc w:val="left"/>
    </w:pPr>
    <w:rPr>
      <w:rFonts w:ascii="Times New Roman" w:hAnsi="Times New Roman" w:eastAsia="宋体" w:cs="Times New Roman"/>
      <w:szCs w:val="21"/>
    </w:rPr>
  </w:style>
  <w:style w:type="paragraph" w:styleId="1399" w:customStyle="1">
    <w:name w:val="正文文本缩进 31"/>
    <w:basedOn w:val="1029"/>
    <w:link w:val="1400"/>
    <w:uiPriority w:val="0"/>
    <w:qFormat/>
    <w:pPr>
      <w:ind w:left="645" w:firstLine="645"/>
    </w:pPr>
    <w:rPr>
      <w:rFonts w:ascii="Arial" w:hAnsi="Arial" w:eastAsia="仿宋_GB2312" w:cs="Times New Roman"/>
      <w:color w:val="ffff00"/>
      <w:sz w:val="32"/>
      <w:szCs w:val="32"/>
      <w:lang w:eastAsia="en-US"/>
    </w:rPr>
  </w:style>
  <w:style w:type="character" w:styleId="1400" w:customStyle="1">
    <w:name w:val="正文文本缩进 3 Char"/>
    <w:link w:val="1399"/>
    <w:uiPriority w:val="0"/>
    <w:qFormat/>
    <w:rPr>
      <w:rFonts w:ascii="Arial" w:hAnsi="Arial" w:eastAsia="仿宋_GB2312" w:cs="Times New Roman"/>
      <w:color w:val="ffff00"/>
      <w:sz w:val="32"/>
      <w:szCs w:val="32"/>
      <w:lang w:eastAsia="en-US"/>
    </w:rPr>
  </w:style>
  <w:style w:type="paragraph" w:styleId="1401" w:customStyle="1">
    <w:name w:val="图表目录1"/>
    <w:basedOn w:val="1029"/>
    <w:next w:val="1029"/>
    <w:uiPriority w:val="0"/>
    <w:semiHidden/>
    <w:qFormat/>
    <w:pPr>
      <w:ind w:left="840" w:hanging="420"/>
    </w:pPr>
    <w:rPr>
      <w:rFonts w:ascii="Times New Roman" w:hAnsi="Times New Roman" w:eastAsia="宋体" w:cs="Times New Roman"/>
      <w:szCs w:val="21"/>
    </w:rPr>
  </w:style>
  <w:style w:type="paragraph" w:styleId="1402" w:customStyle="1">
    <w:name w:val="目录 211"/>
    <w:basedOn w:val="1029"/>
    <w:next w:val="1029"/>
    <w:uiPriority w:val="0"/>
    <w:semiHidden/>
    <w:qFormat/>
    <w:pPr>
      <w:ind w:left="210"/>
      <w:jc w:val="left"/>
    </w:pPr>
    <w:rPr>
      <w:rFonts w:ascii="Times New Roman" w:hAnsi="Times New Roman" w:eastAsia="宋体" w:cs="Times New Roman"/>
      <w:smallCaps/>
      <w:szCs w:val="24"/>
    </w:rPr>
  </w:style>
  <w:style w:type="paragraph" w:styleId="1403" w:customStyle="1">
    <w:name w:val="目录 911"/>
    <w:basedOn w:val="1029"/>
    <w:next w:val="1029"/>
    <w:uiPriority w:val="0"/>
    <w:semiHidden/>
    <w:qFormat/>
    <w:pPr>
      <w:ind w:left="1680"/>
      <w:jc w:val="left"/>
    </w:pPr>
    <w:rPr>
      <w:rFonts w:ascii="Times New Roman" w:hAnsi="Times New Roman" w:eastAsia="宋体" w:cs="Times New Roman"/>
      <w:szCs w:val="21"/>
    </w:rPr>
  </w:style>
  <w:style w:type="paragraph" w:styleId="1404" w:customStyle="1">
    <w:name w:val="正文文本 21"/>
    <w:basedOn w:val="1029"/>
    <w:link w:val="1405"/>
    <w:uiPriority w:val="0"/>
    <w:qFormat/>
    <w:pPr>
      <w:jc w:val="center"/>
      <w:widowControl/>
    </w:pPr>
    <w:rPr>
      <w:rFonts w:ascii="楷体_GB2312" w:hAnsi="Times New Roman" w:eastAsia="楷体_GB2312" w:cs="Times New Roman"/>
      <w:sz w:val="28"/>
      <w:szCs w:val="28"/>
      <w:lang w:eastAsia="en-US"/>
    </w:rPr>
  </w:style>
  <w:style w:type="character" w:styleId="1405" w:customStyle="1">
    <w:name w:val="正文文本 2 Char"/>
    <w:link w:val="1404"/>
    <w:uiPriority w:val="0"/>
    <w:qFormat/>
    <w:rPr>
      <w:rFonts w:ascii="楷体_GB2312" w:hAnsi="Times New Roman" w:eastAsia="楷体_GB2312" w:cs="Times New Roman"/>
      <w:sz w:val="28"/>
      <w:szCs w:val="28"/>
      <w:lang w:eastAsia="en-US"/>
    </w:rPr>
  </w:style>
  <w:style w:type="paragraph" w:styleId="1406" w:customStyle="1">
    <w:name w:val="普通(网站)1"/>
    <w:basedOn w:val="1029"/>
    <w:uiPriority w:val="99"/>
    <w:qFormat/>
    <w:pPr>
      <w:jc w:val="left"/>
      <w:spacing w:before="100" w:beforeAutospacing="1" w:after="100" w:afterAutospacing="1"/>
      <w:widowControl/>
    </w:pPr>
    <w:rPr>
      <w:rFonts w:ascii="宋体" w:hAnsi="宋体" w:eastAsia="宋体" w:cs="宋体"/>
      <w:sz w:val="24"/>
      <w:szCs w:val="24"/>
    </w:rPr>
  </w:style>
  <w:style w:type="paragraph" w:styleId="1407" w:customStyle="1">
    <w:name w:val="索引 11"/>
    <w:basedOn w:val="1029"/>
    <w:next w:val="1029"/>
    <w:uiPriority w:val="0"/>
    <w:semiHidden/>
    <w:qFormat/>
    <w:pPr>
      <w:spacing w:line="240" w:lineRule="atLeast"/>
    </w:pPr>
    <w:rPr>
      <w:rFonts w:ascii="Times New Roman" w:hAnsi="Times New Roman" w:eastAsia="宋体" w:cs="Times New Roman"/>
      <w:b/>
      <w:bCs/>
      <w:szCs w:val="21"/>
    </w:rPr>
  </w:style>
  <w:style w:type="paragraph" w:styleId="1408" w:customStyle="1">
    <w:name w:val="批注主题1"/>
    <w:basedOn w:val="1371"/>
    <w:next w:val="1371"/>
    <w:link w:val="1409"/>
    <w:uiPriority w:val="0"/>
    <w:semiHidden/>
    <w:qFormat/>
    <w:rPr>
      <w:b/>
      <w:bCs/>
    </w:rPr>
  </w:style>
  <w:style w:type="character" w:styleId="1409" w:customStyle="1">
    <w:name w:val="批注主题 Char"/>
    <w:link w:val="1408"/>
    <w:uiPriority w:val="0"/>
    <w:semiHidden/>
    <w:qFormat/>
    <w:rPr>
      <w:rFonts w:ascii="Times New Roman" w:hAnsi="Times New Roman" w:eastAsia="宋体" w:cs="Times New Roman"/>
      <w:b/>
      <w:bCs/>
      <w:szCs w:val="21"/>
      <w:lang w:eastAsia="en-US"/>
    </w:rPr>
  </w:style>
  <w:style w:type="paragraph" w:styleId="1410" w:customStyle="1">
    <w:name w:val="正文首行缩进1"/>
    <w:basedOn w:val="1029"/>
    <w:link w:val="1411"/>
    <w:uiPriority w:val="0"/>
    <w:qFormat/>
    <w:pPr>
      <w:ind w:firstLine="200"/>
      <w:spacing w:line="360" w:lineRule="auto"/>
    </w:pPr>
    <w:rPr>
      <w:rFonts w:ascii="仿宋_GB2312" w:hAnsi="Times New Roman" w:eastAsia="仿宋_GB2312" w:cs="Times New Roman"/>
      <w:sz w:val="30"/>
      <w:szCs w:val="30"/>
      <w:lang w:eastAsia="en-US"/>
    </w:rPr>
  </w:style>
  <w:style w:type="character" w:styleId="1411" w:customStyle="1">
    <w:name w:val="正文首行缩进 Char"/>
    <w:link w:val="1410"/>
    <w:uiPriority w:val="0"/>
    <w:qFormat/>
    <w:rPr>
      <w:rFonts w:ascii="仿宋_GB2312" w:hAnsi="Times New Roman" w:eastAsia="仿宋_GB2312" w:cs="Times New Roman"/>
      <w:sz w:val="30"/>
      <w:szCs w:val="30"/>
      <w:lang w:eastAsia="en-US"/>
    </w:rPr>
  </w:style>
  <w:style w:type="paragraph" w:styleId="1412" w:customStyle="1">
    <w:name w:val="正文首行缩进 21"/>
    <w:basedOn w:val="1377"/>
    <w:link w:val="1413"/>
    <w:uiPriority w:val="0"/>
    <w:qFormat/>
    <w:pPr>
      <w:ind w:firstLine="420"/>
      <w:spacing w:line="360" w:lineRule="auto"/>
    </w:pPr>
    <w:rPr>
      <w:rFonts w:ascii="宋体" w:hAnsi="宋体" w:eastAsia="宋体"/>
      <w:szCs w:val="20"/>
    </w:rPr>
  </w:style>
  <w:style w:type="character" w:styleId="1413" w:customStyle="1">
    <w:name w:val="正文首行缩进 2 Char"/>
    <w:link w:val="1412"/>
    <w:uiPriority w:val="0"/>
    <w:qFormat/>
    <w:rPr>
      <w:rFonts w:ascii="宋体" w:hAnsi="宋体" w:eastAsia="宋体" w:cs="Times New Roman"/>
      <w:sz w:val="32"/>
      <w:lang w:eastAsia="en-US"/>
    </w:rPr>
  </w:style>
  <w:style w:type="character" w:styleId="1414" w:customStyle="1">
    <w:name w:val="要点1"/>
    <w:uiPriority w:val="0"/>
    <w:qFormat/>
    <w:rPr>
      <w:b/>
      <w:bCs/>
    </w:rPr>
  </w:style>
  <w:style w:type="character" w:styleId="1415" w:customStyle="1">
    <w:name w:val="页码1"/>
    <w:uiPriority w:val="0"/>
    <w:qFormat/>
  </w:style>
  <w:style w:type="character" w:styleId="1416" w:customStyle="1">
    <w:name w:val="已访问的超链接1"/>
    <w:uiPriority w:val="0"/>
    <w:qFormat/>
    <w:rPr>
      <w:color w:val="800080"/>
      <w:u w:val="single"/>
    </w:rPr>
  </w:style>
  <w:style w:type="character" w:styleId="1417" w:customStyle="1">
    <w:name w:val="HTML 打字机1"/>
    <w:uiPriority w:val="99"/>
    <w:qFormat/>
    <w:rPr>
      <w:rFonts w:ascii="宋体" w:hAnsi="宋体" w:eastAsia="宋体" w:cs="宋体"/>
      <w:sz w:val="24"/>
      <w:szCs w:val="24"/>
    </w:rPr>
  </w:style>
  <w:style w:type="character" w:styleId="1418" w:customStyle="1">
    <w:name w:val="超链接1"/>
    <w:uiPriority w:val="0"/>
    <w:qFormat/>
    <w:rPr>
      <w:color w:val="0000ff"/>
      <w:u w:val="single"/>
    </w:rPr>
  </w:style>
  <w:style w:type="character" w:styleId="1419" w:customStyle="1">
    <w:name w:val="批注引用1"/>
    <w:basedOn w:val="1365"/>
    <w:uiPriority w:val="0"/>
    <w:semiHidden/>
    <w:qFormat/>
    <w:rPr>
      <w:sz w:val="21"/>
      <w:szCs w:val="21"/>
    </w:rPr>
  </w:style>
  <w:style w:type="character" w:styleId="1420" w:customStyle="1">
    <w:name w:val="二级目录 Char"/>
    <w:link w:val="1421"/>
    <w:uiPriority w:val="0"/>
    <w:qFormat/>
    <w:rPr>
      <w:b/>
      <w:sz w:val="30"/>
      <w:szCs w:val="28"/>
    </w:rPr>
  </w:style>
  <w:style w:type="paragraph" w:styleId="1421" w:customStyle="1">
    <w:name w:val="二级目录"/>
    <w:next w:val="1029"/>
    <w:link w:val="1420"/>
    <w:uiPriority w:val="0"/>
    <w:qFormat/>
    <w:pPr>
      <w:numPr>
        <w:ilvl w:val="0"/>
        <w:numId w:val="4"/>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1422" w:customStyle="1">
    <w:name w:val="列出段落 Char"/>
    <w:link w:val="1106"/>
    <w:uiPriority w:val="0"/>
    <w:qFormat/>
    <w:rPr>
      <w:rFonts w:ascii="Calibri" w:hAnsi="Calibri" w:eastAsia="宋体" w:cs="Times New Roman"/>
      <w:sz w:val="24"/>
      <w:szCs w:val="22"/>
    </w:rPr>
  </w:style>
  <w:style w:type="paragraph" w:styleId="1423" w:customStyle="1">
    <w:name w:val="Body Text(ch)"/>
    <w:basedOn w:val="1029"/>
    <w:next w:val="1375"/>
    <w:uiPriority w:val="0"/>
    <w:qFormat/>
    <w:pPr>
      <w:spacing w:after="120"/>
    </w:pPr>
    <w:rPr>
      <w:rFonts w:ascii="宋体" w:hAnsi="Arial" w:eastAsia="宋体" w:cs="Times New Roman"/>
      <w:bCs/>
      <w:iCs/>
      <w:szCs w:val="24"/>
    </w:rPr>
  </w:style>
  <w:style w:type="paragraph" w:styleId="1424" w:customStyle="1">
    <w:name w:val="Char"/>
    <w:basedOn w:val="1029"/>
    <w:uiPriority w:val="0"/>
    <w:qFormat/>
    <w:pPr>
      <w:ind w:firstLine="200"/>
      <w:tabs>
        <w:tab w:val="left" w:pos="360" w:leader="none"/>
      </w:tabs>
    </w:pPr>
    <w:rPr>
      <w:rFonts w:ascii="Times New Roman" w:hAnsi="Times New Roman" w:eastAsia="宋体" w:cs="Times New Roman"/>
      <w:sz w:val="28"/>
      <w:szCs w:val="30"/>
    </w:rPr>
  </w:style>
  <w:style w:type="paragraph" w:styleId="1425" w:customStyle="1">
    <w:name w:val="普通正文"/>
    <w:basedOn w:val="1029"/>
    <w:uiPriority w:val="0"/>
    <w:qFormat/>
    <w:pPr>
      <w:ind w:firstLine="480"/>
      <w:jc w:val="left"/>
      <w:spacing w:before="120" w:after="120" w:line="360" w:lineRule="auto"/>
    </w:pPr>
    <w:rPr>
      <w:rFonts w:ascii="Arial" w:hAnsi="Arial" w:eastAsia="宋体" w:cs="Times New Roman"/>
      <w:sz w:val="24"/>
      <w:szCs w:val="24"/>
    </w:rPr>
  </w:style>
  <w:style w:type="paragraph" w:styleId="1426" w:customStyle="1">
    <w:name w:val="table_lines"/>
    <w:basedOn w:val="1029"/>
    <w:uiPriority w:val="0"/>
    <w:qFormat/>
    <w:pPr>
      <w:jc w:val="left"/>
      <w:widowControl/>
    </w:pPr>
    <w:rPr>
      <w:rFonts w:ascii="Times New Roman" w:hAnsi="Times New Roman" w:eastAsia="宋体" w:cs="Times New Roman"/>
      <w:sz w:val="20"/>
      <w:szCs w:val="20"/>
      <w:lang w:val="de-DE" w:eastAsia="de-DE"/>
    </w:rPr>
  </w:style>
  <w:style w:type="paragraph" w:styleId="142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28" w:customStyle="1">
    <w:name w:val="列出段落21"/>
    <w:basedOn w:val="1029"/>
    <w:uiPriority w:val="99"/>
    <w:qFormat/>
    <w:pPr>
      <w:contextualSpacing/>
      <w:ind w:left="720"/>
      <w:jc w:val="left"/>
      <w:widowControl/>
    </w:pPr>
    <w:rPr>
      <w:rFonts w:ascii="Calibri" w:hAnsi="Calibri" w:eastAsia="宋体" w:cs="Times New Roman"/>
      <w:sz w:val="24"/>
      <w:szCs w:val="24"/>
      <w:lang w:eastAsia="en-US" w:bidi="en-US"/>
    </w:rPr>
  </w:style>
  <w:style w:type="paragraph" w:styleId="1429" w:customStyle="1">
    <w:name w:val="4"/>
    <w:basedOn w:val="1029"/>
    <w:next w:val="1399"/>
    <w:uiPriority w:val="0"/>
    <w:qFormat/>
    <w:pPr>
      <w:ind w:firstLine="420"/>
      <w:spacing w:line="360" w:lineRule="auto"/>
    </w:pPr>
    <w:rPr>
      <w:rFonts w:ascii="Times New Roman" w:hAnsi="Times New Roman" w:eastAsia="宋体" w:cs="Times New Roman"/>
      <w:color w:val="ff0000"/>
      <w:sz w:val="24"/>
      <w:szCs w:val="24"/>
    </w:rPr>
  </w:style>
  <w:style w:type="paragraph" w:styleId="1430" w:customStyle="1">
    <w:name w:val="普通 (Web)"/>
    <w:basedOn w:val="1029"/>
    <w:uiPriority w:val="0"/>
    <w:qFormat/>
    <w:pPr>
      <w:jc w:val="left"/>
      <w:spacing w:before="100" w:beforeAutospacing="1" w:after="100" w:afterAutospacing="1"/>
      <w:widowControl/>
    </w:pPr>
    <w:rPr>
      <w:rFonts w:ascii="宋体" w:hAnsi="宋体" w:eastAsia="宋体" w:cs="Times New Roman"/>
      <w:sz w:val="24"/>
      <w:szCs w:val="24"/>
    </w:rPr>
  </w:style>
  <w:style w:type="paragraph" w:styleId="1431" w:customStyle="1">
    <w:name w:val="Char Char Char Char Char Char Char Char Char Char"/>
    <w:basedOn w:val="1029"/>
    <w:uiPriority w:val="0"/>
    <w:qFormat/>
    <w:pPr>
      <w:spacing w:line="360" w:lineRule="auto"/>
    </w:pPr>
    <w:rPr>
      <w:rFonts w:ascii="Times New Roman" w:hAnsi="Times New Roman" w:eastAsia="宋体" w:cs="Times New Roman"/>
      <w:sz w:val="24"/>
      <w:szCs w:val="20"/>
    </w:rPr>
  </w:style>
  <w:style w:type="paragraph" w:styleId="1432" w:customStyle="1">
    <w:name w:val="样式1"/>
    <w:basedOn w:val="1029"/>
    <w:uiPriority w:val="0"/>
    <w:qFormat/>
    <w:pPr>
      <w:numPr>
        <w:ilvl w:val="0"/>
        <w:numId w:val="5"/>
      </w:numPr>
    </w:pPr>
    <w:rPr>
      <w:rFonts w:ascii="宋体" w:hAnsi="宋体" w:eastAsia="宋体" w:cs="Times New Roman"/>
      <w:szCs w:val="21"/>
    </w:rPr>
  </w:style>
  <w:style w:type="paragraph" w:styleId="1433" w:customStyle="1">
    <w:name w:val="图标"/>
    <w:basedOn w:val="1029"/>
    <w:next w:val="102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434" w:customStyle="1">
    <w:name w:val="标题3"/>
    <w:basedOn w:val="1029"/>
    <w:next w:val="1029"/>
    <w:uiPriority w:val="0"/>
    <w:qFormat/>
    <w:pPr>
      <w:ind w:firstLine="624"/>
      <w:spacing w:line="590" w:lineRule="atLeast"/>
    </w:pPr>
    <w:rPr>
      <w:rFonts w:ascii="方正黑体_GBK" w:hAnsi="Times New Roman" w:eastAsia="方正黑体_GBK" w:cs="Times New Roman"/>
      <w:sz w:val="32"/>
      <w:szCs w:val="32"/>
    </w:rPr>
  </w:style>
  <w:style w:type="paragraph" w:styleId="1435" w:customStyle="1">
    <w:name w:val="Char Char Char Char Char Char Char Char"/>
    <w:basedOn w:val="1029"/>
    <w:uiPriority w:val="0"/>
    <w:qFormat/>
    <w:pPr>
      <w:jc w:val="left"/>
      <w:spacing w:after="160" w:line="240" w:lineRule="exact"/>
      <w:widowControl/>
    </w:pPr>
    <w:rPr>
      <w:rFonts w:ascii="Verdana" w:hAnsi="Verdana" w:eastAsia="宋体" w:cs="Times New Roman"/>
      <w:sz w:val="20"/>
      <w:szCs w:val="20"/>
      <w:lang w:eastAsia="en-US"/>
    </w:rPr>
  </w:style>
  <w:style w:type="paragraph" w:styleId="1436" w:customStyle="1">
    <w:name w:val="table_1stline"/>
    <w:basedOn w:val="1029"/>
    <w:uiPriority w:val="0"/>
    <w:qFormat/>
    <w:pPr>
      <w:jc w:val="left"/>
      <w:spacing w:before="120"/>
      <w:widowControl/>
    </w:pPr>
    <w:rPr>
      <w:rFonts w:ascii="Times New Roman" w:hAnsi="Times New Roman" w:eastAsia="宋体" w:cs="Times New Roman"/>
      <w:bCs/>
      <w:sz w:val="20"/>
      <w:szCs w:val="20"/>
      <w:lang w:val="de-DE" w:eastAsia="de-DE"/>
    </w:rPr>
  </w:style>
  <w:style w:type="paragraph" w:styleId="1437" w:customStyle="1">
    <w:name w:val="标题1"/>
    <w:basedOn w:val="1029"/>
    <w:next w:val="102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438" w:customStyle="1">
    <w:name w:val="修订2"/>
    <w:uiPriority w:val="99"/>
    <w:semiHidden/>
    <w:qFormat/>
    <w:rPr>
      <w:rFonts w:ascii="Times New Roman" w:hAnsi="Times New Roman" w:eastAsia="宋体" w:cs="Times New Roman"/>
      <w:sz w:val="21"/>
      <w:szCs w:val="21"/>
      <w:lang w:val="en-US" w:eastAsia="zh-CN" w:bidi="ar-SA"/>
    </w:rPr>
  </w:style>
  <w:style w:type="paragraph" w:styleId="143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440" w:customStyle="1">
    <w:name w:val="目录 111"/>
    <w:basedOn w:val="1029"/>
    <w:next w:val="1029"/>
    <w:uiPriority w:val="39"/>
    <w:unhideWhenUsed/>
    <w:qFormat/>
    <w:pPr>
      <w:jc w:val="left"/>
      <w:spacing w:after="100" w:line="259" w:lineRule="auto"/>
      <w:widowControl/>
    </w:pPr>
    <w:rPr>
      <w:rFonts w:ascii="Calibri" w:hAnsi="Calibri" w:eastAsia="宋体" w:cs="Times New Roman"/>
      <w:sz w:val="22"/>
    </w:rPr>
  </w:style>
  <w:style w:type="table" w:styleId="1441" w:customStyle="1">
    <w:name w:val="网格型5"/>
    <w:basedOn w:val="10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2" w:customStyle="1">
    <w:name w:val="正文1"/>
    <w:next w:val="1443"/>
    <w:uiPriority w:val="0"/>
    <w:qFormat/>
    <w:pPr>
      <w:jc w:val="both"/>
      <w:widowControl w:val="off"/>
    </w:pPr>
    <w:rPr>
      <w:rFonts w:hint="eastAsia" w:ascii="Calibri" w:hAnsi="Calibri" w:eastAsia="宋体" w:cs="Times New Roman"/>
      <w:sz w:val="21"/>
      <w:lang w:val="en-US" w:eastAsia="zh-CN" w:bidi="ar-SA"/>
    </w:rPr>
  </w:style>
  <w:style w:type="paragraph" w:styleId="1443" w:customStyle="1">
    <w:name w:val="自动更正"/>
    <w:next w:val="1144"/>
    <w:uiPriority w:val="0"/>
    <w:qFormat/>
    <w:pPr>
      <w:jc w:val="both"/>
      <w:widowControl w:val="off"/>
    </w:pPr>
    <w:rPr>
      <w:rFonts w:ascii="Times New Roman" w:hAnsi="Times New Roman" w:eastAsia="宋体" w:cs="Times New Roman"/>
      <w:sz w:val="21"/>
      <w:szCs w:val="24"/>
      <w:lang w:val="en-US" w:eastAsia="zh-CN" w:bidi="ar-SA"/>
    </w:rPr>
  </w:style>
  <w:style w:type="paragraph" w:styleId="1444" w:customStyle="1">
    <w:name w:val="_Style 1"/>
    <w:basedOn w:val="1029"/>
    <w:uiPriority w:val="34"/>
    <w:qFormat/>
    <w:pPr>
      <w:ind w:firstLine="420"/>
    </w:pPr>
    <w:rPr>
      <w:rFonts w:ascii="Calibri" w:hAnsi="Calibri"/>
    </w:rPr>
  </w:style>
  <w:style w:type="character" w:styleId="1445" w:customStyle="1">
    <w:name w:val="15"/>
    <w:basedOn w:val="1039"/>
    <w:uiPriority w:val="0"/>
    <w:qFormat/>
    <w:rPr>
      <w:rFonts w:hint="default" w:ascii="Times New Roman" w:hAnsi="Times New Roman" w:cs="Times New Roman"/>
    </w:rPr>
  </w:style>
  <w:style w:type="character" w:styleId="1446" w:customStyle="1">
    <w:name w:val="10"/>
    <w:basedOn w:val="1039"/>
    <w:uiPriority w:val="0"/>
    <w:qFormat/>
    <w:rPr>
      <w:rFonts w:hint="default" w:ascii="Times New Roman" w:hAnsi="Times New Roman" w:cs="Times New Roman"/>
    </w:rPr>
  </w:style>
  <w:style w:type="paragraph" w:styleId="1447" w:customStyle="1">
    <w:name w:val="正文 A"/>
    <w:basedOn w:val="1029"/>
    <w:uiPriority w:val="0"/>
    <w:qFormat/>
    <w:rPr>
      <w:rFonts w:ascii="Times New Roman" w:hAnsi="Arial Unicode MS" w:eastAsia="Arial Unicode MS" w:cs="Times New Roman"/>
      <w:color w:val="000000"/>
      <w:szCs w:val="21"/>
    </w:rPr>
  </w:style>
  <w:style w:type="character" w:styleId="1448" w:customStyle="1">
    <w:name w:val="font61"/>
    <w:basedOn w:val="1039"/>
    <w:uiPriority w:val="0"/>
    <w:qFormat/>
    <w:rPr>
      <w:rFonts w:hint="eastAsia" w:ascii="宋体" w:hAnsi="宋体" w:eastAsia="宋体" w:cs="宋体"/>
      <w:b/>
      <w:bCs/>
      <w:color w:val="000000"/>
      <w:sz w:val="24"/>
      <w:szCs w:val="24"/>
      <w:u w:val="none"/>
    </w:rPr>
  </w:style>
  <w:style w:type="paragraph" w:styleId="1449" w:customStyle="1">
    <w:name w:val="ZDY正文"/>
    <w:basedOn w:val="1029"/>
    <w:uiPriority w:val="0"/>
    <w:qFormat/>
    <w:pPr>
      <w:ind w:firstLine="200"/>
      <w:jc w:val="left"/>
      <w:spacing w:line="360" w:lineRule="auto"/>
    </w:pPr>
    <w:rPr>
      <w:rFonts w:ascii="宋体" w:hAnsi="宋体"/>
      <w:sz w:val="24"/>
    </w:rPr>
  </w:style>
  <w:style w:type="numbering" w:styleId="1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骆丹丹</cp:lastModifiedBy>
  <cp:revision>69</cp:revision>
  <dcterms:created xsi:type="dcterms:W3CDTF">2024-04-28T03:01:00Z</dcterms:created>
  <dcterms:modified xsi:type="dcterms:W3CDTF">2025-11-13T01:28:30Z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8643654340914B03876DDE8B9F2A3717_13</vt:lpwstr>
  </property>
  <property fmtid="{D5CDD505-2E9C-101B-9397-08002B2CF9AE}" pid="4" name="KSOTemplateDocerSaveRecord">
    <vt:lpwstr>eyJoZGlkIjoiMTFlZWY5NGI4MGI3ZDI4MzQxMjdkZGUzM2ZkMmE1MDMiLCJ1c2VySWQiOiIzOTMwNzc5NDIifQ==</vt:lpwstr>
  </property>
</Properties>
</file>